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547A6" w:rsidRDefault="001547A6" w:rsidP="00E75C4F">
      <w:pPr>
        <w:spacing w:line="276" w:lineRule="auto"/>
        <w:rPr>
          <w:rFonts w:cs="Adobe Arabic"/>
          <w:b/>
          <w:sz w:val="28"/>
        </w:rPr>
      </w:pPr>
    </w:p>
    <w:p w:rsidR="006231BF" w:rsidRPr="00BA2C03" w:rsidRDefault="006906BB" w:rsidP="00E75C4F">
      <w:pPr>
        <w:spacing w:line="276" w:lineRule="auto"/>
        <w:rPr>
          <w:rFonts w:cs="Adobe Arabic"/>
          <w:b/>
          <w:sz w:val="28"/>
        </w:rPr>
      </w:pPr>
      <w:r w:rsidRPr="00BA2C03">
        <w:rPr>
          <w:rFonts w:cs="Adobe Arabic"/>
          <w:b/>
          <w:sz w:val="28"/>
        </w:rPr>
        <w:t xml:space="preserve">HEIDENHAIN auf der </w:t>
      </w:r>
      <w:r w:rsidR="008B336A" w:rsidRPr="00BA2C03">
        <w:rPr>
          <w:rFonts w:cs="Adobe Arabic"/>
          <w:b/>
          <w:sz w:val="28"/>
        </w:rPr>
        <w:t>AMB</w:t>
      </w:r>
      <w:r w:rsidRPr="00BA2C03">
        <w:rPr>
          <w:rFonts w:cs="Adobe Arabic"/>
          <w:b/>
          <w:sz w:val="28"/>
        </w:rPr>
        <w:t xml:space="preserve"> 2018: </w:t>
      </w:r>
    </w:p>
    <w:p w:rsidR="006906BB" w:rsidRPr="006231BF" w:rsidRDefault="00850D0A" w:rsidP="00E75C4F">
      <w:pPr>
        <w:spacing w:line="276" w:lineRule="auto"/>
        <w:rPr>
          <w:rFonts w:cs="Adobe Arabic"/>
          <w:b/>
          <w:sz w:val="28"/>
        </w:rPr>
      </w:pPr>
      <w:r w:rsidRPr="006231BF">
        <w:rPr>
          <w:rFonts w:cs="Adobe Arabic"/>
          <w:b/>
          <w:sz w:val="28"/>
        </w:rPr>
        <w:t xml:space="preserve">Connected Machining </w:t>
      </w:r>
      <w:r w:rsidR="006231BF" w:rsidRPr="006231BF">
        <w:rPr>
          <w:rFonts w:cs="Adobe Arabic"/>
          <w:b/>
          <w:sz w:val="28"/>
        </w:rPr>
        <w:t xml:space="preserve">in der Praxis und neue </w:t>
      </w:r>
      <w:r w:rsidR="006231BF">
        <w:rPr>
          <w:rFonts w:cs="Adobe Arabic"/>
          <w:b/>
          <w:sz w:val="28"/>
        </w:rPr>
        <w:t>Steuerungsf</w:t>
      </w:r>
      <w:r w:rsidR="006231BF" w:rsidRPr="006231BF">
        <w:rPr>
          <w:rFonts w:cs="Adobe Arabic"/>
          <w:b/>
          <w:sz w:val="28"/>
        </w:rPr>
        <w:t xml:space="preserve">unktionen </w:t>
      </w:r>
    </w:p>
    <w:p w:rsidR="00B6511B" w:rsidRPr="006231BF" w:rsidRDefault="00B6511B" w:rsidP="00E75C4F">
      <w:pPr>
        <w:spacing w:line="276" w:lineRule="auto"/>
        <w:rPr>
          <w:rFonts w:cs="Adobe Arabic"/>
        </w:rPr>
      </w:pPr>
    </w:p>
    <w:p w:rsidR="006231BF" w:rsidRDefault="006231BF" w:rsidP="00DE4026">
      <w:pPr>
        <w:tabs>
          <w:tab w:val="left" w:pos="7602"/>
        </w:tabs>
        <w:spacing w:after="120" w:line="276" w:lineRule="auto"/>
        <w:rPr>
          <w:rFonts w:cs="Adobe Arabic"/>
          <w:i/>
        </w:rPr>
      </w:pPr>
      <w:r>
        <w:rPr>
          <w:rFonts w:cs="Adobe Arabic"/>
          <w:i/>
        </w:rPr>
        <w:t>Der Anwender an der Maschine im Mittelpunkt einer digitalisierten Fertigung</w:t>
      </w:r>
      <w:r w:rsidR="00B14821">
        <w:rPr>
          <w:rFonts w:cs="Adobe Arabic"/>
          <w:i/>
        </w:rPr>
        <w:t xml:space="preserve"> und</w:t>
      </w:r>
      <w:r>
        <w:rPr>
          <w:rFonts w:cs="Adobe Arabic"/>
          <w:i/>
        </w:rPr>
        <w:t xml:space="preserve"> die Hoheit über die eigenen Daten </w:t>
      </w:r>
      <w:r w:rsidR="00B14821">
        <w:rPr>
          <w:rFonts w:cs="Adobe Arabic"/>
          <w:i/>
        </w:rPr>
        <w:t xml:space="preserve">im </w:t>
      </w:r>
      <w:r>
        <w:rPr>
          <w:rFonts w:cs="Adobe Arabic"/>
          <w:i/>
        </w:rPr>
        <w:t>Netzwerk</w:t>
      </w:r>
      <w:r w:rsidR="00B14821">
        <w:rPr>
          <w:rFonts w:cs="Adobe Arabic"/>
          <w:i/>
        </w:rPr>
        <w:t xml:space="preserve"> </w:t>
      </w:r>
      <w:r>
        <w:rPr>
          <w:rFonts w:cs="Adobe Arabic"/>
          <w:i/>
        </w:rPr>
        <w:t xml:space="preserve">– das sind die Eckpfeiler des Funktionenpakets Connected Machining von HEIDENHAIN. </w:t>
      </w:r>
      <w:r w:rsidR="00D86729">
        <w:rPr>
          <w:rFonts w:cs="Adobe Arabic"/>
          <w:i/>
        </w:rPr>
        <w:t xml:space="preserve">Auf dieser Basis steigert Connected Machining </w:t>
      </w:r>
      <w:r>
        <w:rPr>
          <w:rFonts w:cs="Adobe Arabic"/>
          <w:i/>
        </w:rPr>
        <w:t xml:space="preserve">die Effizienz </w:t>
      </w:r>
      <w:r w:rsidR="00D86729">
        <w:rPr>
          <w:rFonts w:cs="Adobe Arabic"/>
          <w:i/>
        </w:rPr>
        <w:t xml:space="preserve">in der Produktion </w:t>
      </w:r>
      <w:r>
        <w:rPr>
          <w:rFonts w:cs="Adobe Arabic"/>
          <w:i/>
        </w:rPr>
        <w:t xml:space="preserve">und </w:t>
      </w:r>
      <w:r w:rsidR="00D86729">
        <w:rPr>
          <w:rFonts w:cs="Adobe Arabic"/>
          <w:i/>
        </w:rPr>
        <w:t>nutzt</w:t>
      </w:r>
      <w:r>
        <w:rPr>
          <w:rFonts w:cs="Adobe Arabic"/>
          <w:i/>
        </w:rPr>
        <w:t xml:space="preserve"> vorhandene Ressourcen besser</w:t>
      </w:r>
      <w:r w:rsidR="00D86729">
        <w:rPr>
          <w:rFonts w:cs="Adobe Arabic"/>
          <w:i/>
        </w:rPr>
        <w:t xml:space="preserve"> aus</w:t>
      </w:r>
      <w:r>
        <w:rPr>
          <w:rFonts w:cs="Adobe Arabic"/>
          <w:i/>
        </w:rPr>
        <w:t xml:space="preserve">. </w:t>
      </w:r>
      <w:r w:rsidR="00310FE6">
        <w:rPr>
          <w:rFonts w:cs="Adobe Arabic"/>
          <w:i/>
        </w:rPr>
        <w:t>Außerdem stellt HEIDENHAIN neue Funktio</w:t>
      </w:r>
      <w:r w:rsidR="00F3525E">
        <w:rPr>
          <w:rFonts w:cs="Adobe Arabic"/>
          <w:i/>
        </w:rPr>
        <w:t xml:space="preserve">nen für die TNC-Steuerungen vor, </w:t>
      </w:r>
      <w:r w:rsidR="00310FE6">
        <w:rPr>
          <w:rFonts w:cs="Adobe Arabic"/>
          <w:i/>
        </w:rPr>
        <w:t>zeigt Fräs- und Drehbearbeitung</w:t>
      </w:r>
      <w:r w:rsidR="00DE4026">
        <w:rPr>
          <w:rFonts w:cs="Adobe Arabic"/>
          <w:i/>
        </w:rPr>
        <w:t>en</w:t>
      </w:r>
      <w:r w:rsidR="004C37EC">
        <w:rPr>
          <w:rFonts w:cs="Adobe Arabic"/>
          <w:i/>
        </w:rPr>
        <w:t xml:space="preserve"> live auf dem Stand</w:t>
      </w:r>
      <w:r w:rsidR="00F3525E">
        <w:rPr>
          <w:rFonts w:cs="Adobe Arabic"/>
          <w:i/>
        </w:rPr>
        <w:t xml:space="preserve"> und präsentiert eine neue Lösung für intelligenten Motorschutz</w:t>
      </w:r>
      <w:r w:rsidR="004C37EC">
        <w:rPr>
          <w:rFonts w:cs="Adobe Arabic"/>
          <w:i/>
        </w:rPr>
        <w:t xml:space="preserve">. </w:t>
      </w:r>
    </w:p>
    <w:p w:rsidR="006B3D39" w:rsidRPr="00F60FF8" w:rsidRDefault="006B3D39" w:rsidP="00E75C4F">
      <w:pPr>
        <w:spacing w:line="276" w:lineRule="auto"/>
        <w:rPr>
          <w:rFonts w:cs="Adobe Arabic"/>
        </w:rPr>
      </w:pPr>
    </w:p>
    <w:p w:rsidR="00C85CD3" w:rsidRDefault="00A12C12" w:rsidP="00D86729">
      <w:pPr>
        <w:spacing w:line="276" w:lineRule="auto"/>
        <w:rPr>
          <w:rFonts w:cs="Adobe Arabic"/>
          <w:b/>
        </w:rPr>
      </w:pPr>
      <w:r>
        <w:rPr>
          <w:rFonts w:cs="Adobe Arabic"/>
          <w:b/>
        </w:rPr>
        <w:t>F</w:t>
      </w:r>
      <w:r w:rsidR="0038062D">
        <w:rPr>
          <w:rFonts w:cs="Adobe Arabic"/>
          <w:b/>
        </w:rPr>
        <w:t xml:space="preserve">räsen und </w:t>
      </w:r>
      <w:r w:rsidR="00155811">
        <w:rPr>
          <w:rFonts w:cs="Adobe Arabic"/>
          <w:b/>
        </w:rPr>
        <w:t>d</w:t>
      </w:r>
      <w:r w:rsidR="0038062D">
        <w:rPr>
          <w:rFonts w:cs="Adobe Arabic"/>
          <w:b/>
        </w:rPr>
        <w:t>rehen mit</w:t>
      </w:r>
      <w:r w:rsidR="009B159D" w:rsidRPr="009B159D">
        <w:rPr>
          <w:rFonts w:cs="Adobe Arabic"/>
          <w:b/>
        </w:rPr>
        <w:t xml:space="preserve"> Connected Machining</w:t>
      </w:r>
      <w:r>
        <w:rPr>
          <w:rFonts w:cs="Adobe Arabic"/>
          <w:b/>
        </w:rPr>
        <w:t xml:space="preserve">: </w:t>
      </w:r>
    </w:p>
    <w:p w:rsidR="009B159D" w:rsidRPr="009B159D" w:rsidRDefault="00A12C12" w:rsidP="00D86729">
      <w:pPr>
        <w:spacing w:line="276" w:lineRule="auto"/>
        <w:rPr>
          <w:rFonts w:cs="Adobe Arabic"/>
          <w:b/>
        </w:rPr>
      </w:pPr>
      <w:r>
        <w:rPr>
          <w:rFonts w:cs="Adobe Arabic"/>
          <w:b/>
        </w:rPr>
        <w:t>Effiziente Prozesse durch individuelle Vernetzung</w:t>
      </w:r>
      <w:r w:rsidR="00304AB6">
        <w:rPr>
          <w:rFonts w:cs="Adobe Arabic"/>
          <w:b/>
        </w:rPr>
        <w:tab/>
      </w:r>
    </w:p>
    <w:p w:rsidR="004C37EC" w:rsidRDefault="004C37EC" w:rsidP="00E75C4F">
      <w:pPr>
        <w:spacing w:line="276" w:lineRule="auto"/>
        <w:rPr>
          <w:rFonts w:cs="Adobe Arabic"/>
        </w:rPr>
      </w:pPr>
      <w:r>
        <w:rPr>
          <w:rFonts w:cs="Adobe Arabic"/>
        </w:rPr>
        <w:t xml:space="preserve">Connected Machining von HEIDENHAIN </w:t>
      </w:r>
      <w:r w:rsidR="00304AB6">
        <w:rPr>
          <w:rFonts w:cs="Adobe Arabic"/>
        </w:rPr>
        <w:t>vernetzt</w:t>
      </w:r>
      <w:r>
        <w:rPr>
          <w:rFonts w:cs="Adobe Arabic"/>
        </w:rPr>
        <w:t xml:space="preserve"> </w:t>
      </w:r>
      <w:r w:rsidR="00D86729">
        <w:rPr>
          <w:rFonts w:cs="Adobe Arabic"/>
        </w:rPr>
        <w:t>in einer</w:t>
      </w:r>
      <w:r w:rsidR="00D86729" w:rsidRPr="00A12C12">
        <w:rPr>
          <w:rFonts w:cs="Adobe Arabic"/>
        </w:rPr>
        <w:t xml:space="preserve"> </w:t>
      </w:r>
      <w:r w:rsidR="00D86729">
        <w:rPr>
          <w:rFonts w:cs="Adobe Arabic"/>
        </w:rPr>
        <w:t xml:space="preserve">digitalisierten Fertigung die </w:t>
      </w:r>
      <w:r>
        <w:rPr>
          <w:rFonts w:cs="Adobe Arabic"/>
        </w:rPr>
        <w:t xml:space="preserve">Maschinen in der Werkstatt mit dem Unternehmensnetzwerk. </w:t>
      </w:r>
      <w:r w:rsidR="00F603E7">
        <w:rPr>
          <w:rFonts w:cs="Adobe Arabic"/>
        </w:rPr>
        <w:t>Dabei ermöglicht</w:t>
      </w:r>
      <w:r>
        <w:rPr>
          <w:rFonts w:cs="Adobe Arabic"/>
        </w:rPr>
        <w:t xml:space="preserve"> Connected Machining </w:t>
      </w:r>
      <w:r w:rsidR="00B14821">
        <w:rPr>
          <w:rFonts w:cs="Adobe Arabic"/>
        </w:rPr>
        <w:t>über die</w:t>
      </w:r>
      <w:r>
        <w:rPr>
          <w:rFonts w:cs="Adobe Arabic"/>
        </w:rPr>
        <w:t xml:space="preserve"> Vernetzung </w:t>
      </w:r>
      <w:r w:rsidR="00B14821">
        <w:rPr>
          <w:rFonts w:cs="Adobe Arabic"/>
        </w:rPr>
        <w:t xml:space="preserve">hinaus </w:t>
      </w:r>
      <w:r w:rsidR="00A12C12">
        <w:rPr>
          <w:rFonts w:cs="Adobe Arabic"/>
        </w:rPr>
        <w:t>die individuelle, betriebsbezogene Datennutzung</w:t>
      </w:r>
      <w:r w:rsidR="00F603E7">
        <w:rPr>
          <w:rFonts w:cs="Adobe Arabic"/>
        </w:rPr>
        <w:t xml:space="preserve"> </w:t>
      </w:r>
      <w:r>
        <w:rPr>
          <w:rFonts w:cs="Adobe Arabic"/>
        </w:rPr>
        <w:t xml:space="preserve">– und zwar immer maßgeschneidert nach den Wünschen </w:t>
      </w:r>
      <w:r w:rsidR="00E324CE">
        <w:rPr>
          <w:rFonts w:cs="Adobe Arabic"/>
        </w:rPr>
        <w:t>und</w:t>
      </w:r>
      <w:r>
        <w:rPr>
          <w:rFonts w:cs="Adobe Arabic"/>
        </w:rPr>
        <w:t xml:space="preserve"> Anforderungen des </w:t>
      </w:r>
      <w:r w:rsidR="0066548E">
        <w:rPr>
          <w:rFonts w:cs="Adobe Arabic"/>
        </w:rPr>
        <w:t>Unternehmens</w:t>
      </w:r>
      <w:r w:rsidR="00A12C12">
        <w:rPr>
          <w:rFonts w:cs="Adobe Arabic"/>
        </w:rPr>
        <w:t>.</w:t>
      </w:r>
      <w:r>
        <w:rPr>
          <w:rFonts w:cs="Adobe Arabic"/>
        </w:rPr>
        <w:t xml:space="preserve"> </w:t>
      </w:r>
    </w:p>
    <w:p w:rsidR="0031453D" w:rsidRDefault="004C37EC" w:rsidP="004C37EC">
      <w:pPr>
        <w:spacing w:line="276" w:lineRule="auto"/>
        <w:rPr>
          <w:rFonts w:cs="Adobe Arabic"/>
        </w:rPr>
      </w:pPr>
      <w:r>
        <w:rPr>
          <w:rFonts w:cs="Adobe Arabic"/>
        </w:rPr>
        <w:t xml:space="preserve">Die Software </w:t>
      </w:r>
      <w:r w:rsidRPr="00304AB6">
        <w:rPr>
          <w:rFonts w:cs="Adobe Arabic"/>
          <w:b/>
        </w:rPr>
        <w:t>StateMonitor</w:t>
      </w:r>
      <w:r>
        <w:rPr>
          <w:rFonts w:cs="Adobe Arabic"/>
        </w:rPr>
        <w:t xml:space="preserve"> gibt dem Anwender einen schnellen </w:t>
      </w:r>
      <w:r w:rsidRPr="007A576D">
        <w:rPr>
          <w:rFonts w:cs="Adobe Arabic"/>
        </w:rPr>
        <w:t>Überblick über den aktuellen Maschinen</w:t>
      </w:r>
      <w:r>
        <w:rPr>
          <w:rFonts w:cs="Adobe Arabic"/>
        </w:rPr>
        <w:t>- und Auftrags</w:t>
      </w:r>
      <w:r w:rsidRPr="007A576D">
        <w:rPr>
          <w:rFonts w:cs="Adobe Arabic"/>
        </w:rPr>
        <w:t>status</w:t>
      </w:r>
      <w:r>
        <w:rPr>
          <w:rFonts w:cs="Adobe Arabic"/>
        </w:rPr>
        <w:t xml:space="preserve"> der angeschlossenen Maschinen</w:t>
      </w:r>
      <w:r w:rsidRPr="007A576D">
        <w:rPr>
          <w:rFonts w:cs="Adobe Arabic"/>
        </w:rPr>
        <w:t xml:space="preserve"> und liefert Informationen zu Maschinenmeldungen.</w:t>
      </w:r>
      <w:r>
        <w:rPr>
          <w:rFonts w:cs="Adobe Arabic"/>
        </w:rPr>
        <w:t xml:space="preserve"> So behält </w:t>
      </w:r>
      <w:r w:rsidR="00B14821">
        <w:rPr>
          <w:rFonts w:cs="Adobe Arabic"/>
        </w:rPr>
        <w:t>d</w:t>
      </w:r>
      <w:r>
        <w:rPr>
          <w:rFonts w:cs="Adobe Arabic"/>
        </w:rPr>
        <w:t xml:space="preserve">er </w:t>
      </w:r>
      <w:r w:rsidR="00B14821">
        <w:rPr>
          <w:rFonts w:cs="Adobe Arabic"/>
        </w:rPr>
        <w:t xml:space="preserve">Anwender </w:t>
      </w:r>
      <w:r>
        <w:rPr>
          <w:rFonts w:cs="Adobe Arabic"/>
        </w:rPr>
        <w:t>jederzeit den Überblick über seine Werkzeugmaschinen und Auftr</w:t>
      </w:r>
      <w:r w:rsidR="0066548E">
        <w:rPr>
          <w:rFonts w:cs="Adobe Arabic"/>
        </w:rPr>
        <w:t>ä</w:t>
      </w:r>
      <w:r>
        <w:rPr>
          <w:rFonts w:cs="Adobe Arabic"/>
        </w:rPr>
        <w:t>g</w:t>
      </w:r>
      <w:r w:rsidR="0066548E">
        <w:rPr>
          <w:rFonts w:cs="Adobe Arabic"/>
        </w:rPr>
        <w:t>e</w:t>
      </w:r>
      <w:r>
        <w:rPr>
          <w:rFonts w:cs="Adobe Arabic"/>
        </w:rPr>
        <w:t xml:space="preserve">. </w:t>
      </w:r>
      <w:r w:rsidR="00304AB6">
        <w:rPr>
          <w:rFonts w:cs="Adobe Arabic"/>
        </w:rPr>
        <w:t xml:space="preserve">Die Messebesucher können </w:t>
      </w:r>
      <w:r w:rsidR="00765C79">
        <w:rPr>
          <w:rFonts w:cs="Adobe Arabic"/>
        </w:rPr>
        <w:t xml:space="preserve">StateMonitor live in Aktion erleben. </w:t>
      </w:r>
      <w:r w:rsidR="00304AB6">
        <w:rPr>
          <w:rFonts w:cs="Adobe Arabic"/>
        </w:rPr>
        <w:t>Denn a</w:t>
      </w:r>
      <w:r w:rsidR="00765C79">
        <w:rPr>
          <w:rFonts w:cs="Adobe Arabic"/>
        </w:rPr>
        <w:t xml:space="preserve">uf der AMB werden </w:t>
      </w:r>
      <w:r w:rsidR="00850D0A">
        <w:rPr>
          <w:rFonts w:cs="Adobe Arabic"/>
        </w:rPr>
        <w:t xml:space="preserve">Fräs- und Drehmaschinen auf den </w:t>
      </w:r>
      <w:r w:rsidR="000F0D19">
        <w:rPr>
          <w:rFonts w:cs="Adobe Arabic"/>
        </w:rPr>
        <w:t>Messes</w:t>
      </w:r>
      <w:r w:rsidR="00850D0A">
        <w:rPr>
          <w:rFonts w:cs="Adobe Arabic"/>
        </w:rPr>
        <w:t>tänden zahlreicher Maschinenhersteller</w:t>
      </w:r>
      <w:r>
        <w:rPr>
          <w:rFonts w:cs="Adobe Arabic"/>
        </w:rPr>
        <w:t xml:space="preserve"> </w:t>
      </w:r>
      <w:r w:rsidR="00765C79">
        <w:rPr>
          <w:rFonts w:cs="Adobe Arabic"/>
        </w:rPr>
        <w:t xml:space="preserve">über Connected Machining </w:t>
      </w:r>
      <w:r w:rsidR="00850D0A">
        <w:rPr>
          <w:rFonts w:cs="Adobe Arabic"/>
        </w:rPr>
        <w:t xml:space="preserve">mit dem </w:t>
      </w:r>
      <w:r w:rsidR="009B159D">
        <w:rPr>
          <w:rFonts w:cs="Adobe Arabic"/>
        </w:rPr>
        <w:t>HEIDENHAIN-Stand</w:t>
      </w:r>
      <w:r w:rsidR="00765C79">
        <w:rPr>
          <w:rFonts w:cs="Adobe Arabic"/>
        </w:rPr>
        <w:t xml:space="preserve"> vernetzt</w:t>
      </w:r>
      <w:r w:rsidR="00850D0A">
        <w:rPr>
          <w:rFonts w:cs="Adobe Arabic"/>
        </w:rPr>
        <w:t xml:space="preserve">. </w:t>
      </w:r>
    </w:p>
    <w:p w:rsidR="003C00F9" w:rsidRDefault="003C00F9" w:rsidP="00E75C4F">
      <w:pPr>
        <w:spacing w:line="276" w:lineRule="auto"/>
        <w:rPr>
          <w:rFonts w:cs="Adobe Arabic"/>
        </w:rPr>
      </w:pPr>
      <w:r>
        <w:rPr>
          <w:rFonts w:cs="Adobe Arabic"/>
        </w:rPr>
        <w:t xml:space="preserve">Außerdem </w:t>
      </w:r>
      <w:r w:rsidR="0031453D">
        <w:rPr>
          <w:rFonts w:cs="Adobe Arabic"/>
        </w:rPr>
        <w:t xml:space="preserve">zeigt HEIDENHAIN auch das einfache Handling von </w:t>
      </w:r>
      <w:r w:rsidR="00F603E7">
        <w:rPr>
          <w:rFonts w:cs="Adobe Arabic"/>
        </w:rPr>
        <w:t>auftragsbezogenen Daten</w:t>
      </w:r>
      <w:r w:rsidR="0031453D">
        <w:rPr>
          <w:rFonts w:cs="Adobe Arabic"/>
        </w:rPr>
        <w:t xml:space="preserve"> mit Connected Machining. Der Anwender kann mit Hilfe von Connected Mach</w:t>
      </w:r>
      <w:r w:rsidR="00B14821">
        <w:rPr>
          <w:rFonts w:cs="Adobe Arabic"/>
        </w:rPr>
        <w:t xml:space="preserve">ining alle </w:t>
      </w:r>
      <w:r w:rsidR="00874F9F">
        <w:rPr>
          <w:rFonts w:cs="Adobe Arabic"/>
        </w:rPr>
        <w:t>fertigungsrelevanten</w:t>
      </w:r>
      <w:r w:rsidR="00B14821">
        <w:rPr>
          <w:rFonts w:cs="Adobe Arabic"/>
        </w:rPr>
        <w:t xml:space="preserve"> Daten aus sein</w:t>
      </w:r>
      <w:r w:rsidR="0031453D">
        <w:rPr>
          <w:rFonts w:cs="Adobe Arabic"/>
        </w:rPr>
        <w:t xml:space="preserve">em Netzwerk abrufen und direkt an der Steuerung nutzen. Dazu gehört z. B. die Anzeige von Bild- oder PDF-Dateien mit den Standardfunktionen der Steuerung. </w:t>
      </w:r>
    </w:p>
    <w:p w:rsidR="002B701A" w:rsidRDefault="0031453D" w:rsidP="00E75C4F">
      <w:pPr>
        <w:spacing w:line="276" w:lineRule="auto"/>
        <w:rPr>
          <w:rFonts w:cs="Adobe Arabic"/>
        </w:rPr>
      </w:pPr>
      <w:r w:rsidRPr="007A576D">
        <w:rPr>
          <w:rFonts w:cs="Adobe Arabic"/>
        </w:rPr>
        <w:t>De</w:t>
      </w:r>
      <w:r>
        <w:rPr>
          <w:rFonts w:cs="Adobe Arabic"/>
        </w:rPr>
        <w:t>n</w:t>
      </w:r>
      <w:r w:rsidRPr="007A576D">
        <w:rPr>
          <w:rFonts w:cs="Adobe Arabic"/>
        </w:rPr>
        <w:t xml:space="preserve"> Wechsel vom Steuerungsbildschirm zur Oberfläch</w:t>
      </w:r>
      <w:r>
        <w:rPr>
          <w:rFonts w:cs="Adobe Arabic"/>
        </w:rPr>
        <w:t>e ein</w:t>
      </w:r>
      <w:r w:rsidRPr="007A576D">
        <w:rPr>
          <w:rFonts w:cs="Adobe Arabic"/>
        </w:rPr>
        <w:t xml:space="preserve">es Windows-PC </w:t>
      </w:r>
      <w:r>
        <w:rPr>
          <w:rFonts w:cs="Adobe Arabic"/>
        </w:rPr>
        <w:t xml:space="preserve">ermöglicht der </w:t>
      </w:r>
      <w:r w:rsidRPr="00304AB6">
        <w:rPr>
          <w:rFonts w:cs="Adobe Arabic"/>
          <w:b/>
        </w:rPr>
        <w:t>REMOTE DESKTOP MANAGER</w:t>
      </w:r>
      <w:r>
        <w:rPr>
          <w:rFonts w:cs="Adobe Arabic"/>
        </w:rPr>
        <w:t xml:space="preserve">. </w:t>
      </w:r>
      <w:r w:rsidRPr="007A576D">
        <w:rPr>
          <w:rFonts w:cs="Adobe Arabic"/>
        </w:rPr>
        <w:t xml:space="preserve">Technische Zeichnungen, CAD-Daten, NC-Programme, Werkzeugdaten, Arbeitsanweisungen, Bestückungslisten und Lagerinformationen sind </w:t>
      </w:r>
      <w:r>
        <w:rPr>
          <w:rFonts w:cs="Adobe Arabic"/>
        </w:rPr>
        <w:t xml:space="preserve">damit </w:t>
      </w:r>
      <w:r w:rsidRPr="007A576D">
        <w:rPr>
          <w:rFonts w:cs="Adobe Arabic"/>
        </w:rPr>
        <w:t>dig</w:t>
      </w:r>
      <w:r w:rsidR="003248AC">
        <w:rPr>
          <w:rFonts w:cs="Adobe Arabic"/>
        </w:rPr>
        <w:t xml:space="preserve">ital an der Maschine verfügbar. </w:t>
      </w:r>
      <w:r w:rsidR="003C00F9">
        <w:rPr>
          <w:rFonts w:cs="Adobe Arabic"/>
        </w:rPr>
        <w:t xml:space="preserve">Ebenso können natürlich auch </w:t>
      </w:r>
      <w:r w:rsidR="003248AC">
        <w:rPr>
          <w:rFonts w:cs="Adobe Arabic"/>
        </w:rPr>
        <w:t xml:space="preserve">Daten aus der Werkstatt </w:t>
      </w:r>
      <w:r>
        <w:rPr>
          <w:rFonts w:cs="Adobe Arabic"/>
        </w:rPr>
        <w:t xml:space="preserve">von der Maschine aus im Netzwerk zur Verfügung gestellt werden. </w:t>
      </w:r>
      <w:r w:rsidR="0038062D">
        <w:rPr>
          <w:rFonts w:cs="Adobe Arabic"/>
        </w:rPr>
        <w:t xml:space="preserve">So haben </w:t>
      </w:r>
      <w:r w:rsidR="003248AC">
        <w:rPr>
          <w:rFonts w:cs="Adobe Arabic"/>
        </w:rPr>
        <w:t>alle Bereiche im Unternehmensnetzwerk</w:t>
      </w:r>
      <w:r w:rsidR="0038062D">
        <w:rPr>
          <w:rFonts w:cs="Adobe Arabic"/>
        </w:rPr>
        <w:t xml:space="preserve"> direkten Zugriff auf al</w:t>
      </w:r>
      <w:r w:rsidR="0071674E">
        <w:rPr>
          <w:rFonts w:cs="Adobe Arabic"/>
        </w:rPr>
        <w:t xml:space="preserve">le relevanten Daten. Es stehen immer die richtigen Informationen an der richtigen Maschine in der richtigen Qualität und Aktualität zur Verfügung. </w:t>
      </w:r>
    </w:p>
    <w:p w:rsidR="0066548E" w:rsidRDefault="003C00F9" w:rsidP="0066548E">
      <w:pPr>
        <w:spacing w:line="276" w:lineRule="auto"/>
        <w:rPr>
          <w:rFonts w:cs="Adobe Arabic"/>
        </w:rPr>
      </w:pPr>
      <w:r w:rsidRPr="00B66955">
        <w:rPr>
          <w:rFonts w:cs="Adobe Arabic"/>
          <w:b/>
        </w:rPr>
        <w:t>Extended Workspace</w:t>
      </w:r>
      <w:r w:rsidRPr="00B66955">
        <w:rPr>
          <w:rFonts w:cs="Adobe Arabic"/>
        </w:rPr>
        <w:t xml:space="preserve"> </w:t>
      </w:r>
      <w:r w:rsidR="00155811" w:rsidRPr="00B66955">
        <w:rPr>
          <w:rFonts w:cs="Adobe Arabic"/>
        </w:rPr>
        <w:t>erweitert die</w:t>
      </w:r>
      <w:r w:rsidRPr="00B66955">
        <w:rPr>
          <w:rFonts w:cs="Adobe Arabic"/>
        </w:rPr>
        <w:t xml:space="preserve"> Steuerung</w:t>
      </w:r>
      <w:r w:rsidR="00155811" w:rsidRPr="00B66955">
        <w:rPr>
          <w:rFonts w:cs="Adobe Arabic"/>
        </w:rPr>
        <w:t xml:space="preserve"> </w:t>
      </w:r>
      <w:r w:rsidR="00881AD5" w:rsidRPr="00B66955">
        <w:rPr>
          <w:rFonts w:cs="Adobe Arabic"/>
        </w:rPr>
        <w:t xml:space="preserve">um </w:t>
      </w:r>
      <w:r w:rsidR="00F603E7" w:rsidRPr="00B66955">
        <w:rPr>
          <w:rFonts w:cs="Adobe Arabic"/>
        </w:rPr>
        <w:t xml:space="preserve">einen zusätzlichen Arbeitsbereich für den Anwender. </w:t>
      </w:r>
      <w:r w:rsidR="00031835" w:rsidRPr="00B66955">
        <w:rPr>
          <w:rFonts w:cs="Adobe Arabic"/>
        </w:rPr>
        <w:t xml:space="preserve">So hat der TNC-Anwender alle relevanten Daten </w:t>
      </w:r>
      <w:r w:rsidR="00111162" w:rsidRPr="00B66955">
        <w:rPr>
          <w:rFonts w:cs="Adobe Arabic"/>
        </w:rPr>
        <w:t xml:space="preserve">parallel zum Programmlauf der Steuerung </w:t>
      </w:r>
      <w:r w:rsidR="00031835" w:rsidRPr="00B66955">
        <w:rPr>
          <w:rFonts w:cs="Adobe Arabic"/>
        </w:rPr>
        <w:t xml:space="preserve">optimal im Blick. </w:t>
      </w:r>
      <w:r w:rsidR="00F603E7" w:rsidRPr="00B66955">
        <w:rPr>
          <w:rFonts w:cs="Adobe Arabic"/>
        </w:rPr>
        <w:t xml:space="preserve">In der </w:t>
      </w:r>
      <w:r w:rsidR="00F603E7" w:rsidRPr="00B66955">
        <w:rPr>
          <w:rFonts w:cs="Adobe Arabic"/>
          <w:b/>
        </w:rPr>
        <w:t>Komfortversion</w:t>
      </w:r>
      <w:r w:rsidR="00F603E7" w:rsidRPr="00B66955">
        <w:rPr>
          <w:rFonts w:cs="Adobe Arabic"/>
        </w:rPr>
        <w:t xml:space="preserve"> erfolgt dies über </w:t>
      </w:r>
      <w:r w:rsidR="00155811" w:rsidRPr="00B66955">
        <w:rPr>
          <w:rFonts w:cs="Adobe Arabic"/>
        </w:rPr>
        <w:t>einen zusätzlichen Bildschirm</w:t>
      </w:r>
      <w:r w:rsidR="00F603E7" w:rsidRPr="00B66955">
        <w:rPr>
          <w:rFonts w:cs="Adobe Arabic"/>
        </w:rPr>
        <w:t>.</w:t>
      </w:r>
      <w:r w:rsidR="00155811" w:rsidRPr="00B66955">
        <w:rPr>
          <w:rFonts w:cs="Adobe Arabic"/>
        </w:rPr>
        <w:t xml:space="preserve"> </w:t>
      </w:r>
      <w:r w:rsidR="00F603E7" w:rsidRPr="00B66955">
        <w:rPr>
          <w:rFonts w:cs="Adobe Arabic"/>
        </w:rPr>
        <w:t xml:space="preserve">Die </w:t>
      </w:r>
      <w:r w:rsidR="00F603E7" w:rsidRPr="00B66955">
        <w:rPr>
          <w:rFonts w:cs="Adobe Arabic"/>
          <w:b/>
        </w:rPr>
        <w:t>Kompaktversion von Extended Workspace</w:t>
      </w:r>
      <w:r w:rsidR="00F603E7" w:rsidRPr="00B66955">
        <w:rPr>
          <w:rFonts w:cs="Adobe Arabic"/>
        </w:rPr>
        <w:t xml:space="preserve"> zeigt </w:t>
      </w:r>
      <w:r w:rsidR="00111162">
        <w:rPr>
          <w:rFonts w:cs="Adobe Arabic"/>
        </w:rPr>
        <w:t>zusätzliche Informationen</w:t>
      </w:r>
      <w:r w:rsidR="00F603E7" w:rsidRPr="00B66955">
        <w:rPr>
          <w:rFonts w:cs="Adobe Arabic"/>
        </w:rPr>
        <w:t xml:space="preserve"> </w:t>
      </w:r>
      <w:r w:rsidR="00881AD5" w:rsidRPr="00B66955">
        <w:rPr>
          <w:rFonts w:cs="Adobe Arabic"/>
        </w:rPr>
        <w:t>in einem separaten Fenster des</w:t>
      </w:r>
      <w:r w:rsidR="00F603E7" w:rsidRPr="00B66955">
        <w:rPr>
          <w:rFonts w:cs="Adobe Arabic"/>
        </w:rPr>
        <w:t xml:space="preserve"> Steuerung</w:t>
      </w:r>
      <w:r w:rsidR="00881AD5" w:rsidRPr="00B66955">
        <w:rPr>
          <w:rFonts w:cs="Adobe Arabic"/>
        </w:rPr>
        <w:t>sbildschirms</w:t>
      </w:r>
      <w:r w:rsidR="00F603E7" w:rsidRPr="00B66955">
        <w:rPr>
          <w:rFonts w:cs="Adobe Arabic"/>
        </w:rPr>
        <w:t xml:space="preserve"> an. Dafür steht ein spezieller 24”-Widescreen</w:t>
      </w:r>
      <w:r w:rsidR="00031835" w:rsidRPr="00B66955">
        <w:rPr>
          <w:rFonts w:cs="Adobe Arabic"/>
        </w:rPr>
        <w:t>-Bildschirm</w:t>
      </w:r>
      <w:r w:rsidR="00F603E7" w:rsidRPr="00B66955">
        <w:rPr>
          <w:rFonts w:cs="Adobe Arabic"/>
        </w:rPr>
        <w:t xml:space="preserve"> mit Touch</w:t>
      </w:r>
      <w:r w:rsidR="00031835" w:rsidRPr="00B66955">
        <w:rPr>
          <w:rFonts w:cs="Adobe Arabic"/>
        </w:rPr>
        <w:t>-B</w:t>
      </w:r>
      <w:r w:rsidR="00F603E7" w:rsidRPr="00B66955">
        <w:rPr>
          <w:rFonts w:cs="Adobe Arabic"/>
        </w:rPr>
        <w:t>edienung für die TNC-Steuerungen zur Verfügung.</w:t>
      </w:r>
      <w:r w:rsidR="0066548E">
        <w:rPr>
          <w:rFonts w:cs="Adobe Arabic"/>
        </w:rPr>
        <w:br w:type="page"/>
      </w:r>
    </w:p>
    <w:p w:rsidR="00874F9F" w:rsidRPr="00640A19" w:rsidRDefault="00874F9F" w:rsidP="00874F9F">
      <w:pPr>
        <w:spacing w:line="276" w:lineRule="auto"/>
        <w:rPr>
          <w:rFonts w:cs="Adobe Arabic"/>
          <w:b/>
        </w:rPr>
      </w:pPr>
      <w:r>
        <w:rPr>
          <w:rFonts w:cs="Adobe Arabic"/>
          <w:b/>
        </w:rPr>
        <w:lastRenderedPageBreak/>
        <w:t>Neue TNC-Funktionen für Verzahnungen: Komplexe Abläufe einfach programmieren</w:t>
      </w:r>
    </w:p>
    <w:p w:rsidR="00874F9F" w:rsidRDefault="00874F9F" w:rsidP="00874F9F">
      <w:pPr>
        <w:spacing w:line="276" w:lineRule="auto"/>
        <w:rPr>
          <w:rFonts w:cs="Adobe Arabic"/>
        </w:rPr>
      </w:pPr>
      <w:r>
        <w:rPr>
          <w:rFonts w:cs="Adobe Arabic"/>
        </w:rPr>
        <w:t xml:space="preserve">Zur Herstellung hochwertiger Außen- und Innenverzahnungen mit der TNC 640 stellt HEIDENHAIN drei neue Zyklen vor. Sie ermöglichen die einfache und wirtschaftliche Fertigung von geraden sowie schrägen Verzahnungen auf einer Fräs-Dreh-Maschine komplett in einer Aufspannung. </w:t>
      </w:r>
    </w:p>
    <w:p w:rsidR="00874F9F" w:rsidRPr="004B142C" w:rsidRDefault="00874F9F" w:rsidP="00874F9F">
      <w:pPr>
        <w:spacing w:line="276" w:lineRule="auto"/>
        <w:rPr>
          <w:rFonts w:cs="Adobe Arabic"/>
        </w:rPr>
      </w:pPr>
      <w:r>
        <w:rPr>
          <w:rFonts w:cs="Adobe Arabic"/>
        </w:rPr>
        <w:t>Mit dem neuen Zyklus „Zahnrad Wälzschälen“ unterstützt die TNC 640 den Anwender bei der Programmierung der komplexen Abläufe für das Wälzschälen</w:t>
      </w:r>
      <w:r w:rsidR="00F3525E">
        <w:rPr>
          <w:rFonts w:cs="Adobe Arabic"/>
        </w:rPr>
        <w:t>, dem Bearbeitungstrend für Innenverzahnungen</w:t>
      </w:r>
      <w:r>
        <w:rPr>
          <w:rFonts w:cs="Adobe Arabic"/>
        </w:rPr>
        <w:t xml:space="preserve">. </w:t>
      </w:r>
      <w:r w:rsidR="00F3525E">
        <w:rPr>
          <w:rFonts w:cs="Adobe Arabic"/>
        </w:rPr>
        <w:t>Der Anwender</w:t>
      </w:r>
      <w:r>
        <w:rPr>
          <w:rFonts w:cs="Adobe Arabic"/>
        </w:rPr>
        <w:t xml:space="preserve"> muss lediglich die Daten zur Verzahnungsgeometrie und zu den einzusetzenden Werkzeugen vorgeben. Alle weiteren Berechnungen, insbesondere zur aufwendigen Synchronisierung der Bewegungen, übernimmt die TNC 640. Auf dieselbe Weise </w:t>
      </w:r>
      <w:r w:rsidR="00C74652">
        <w:rPr>
          <w:rFonts w:cs="Adobe Arabic"/>
        </w:rPr>
        <w:t>arbeitet</w:t>
      </w:r>
      <w:r>
        <w:rPr>
          <w:rFonts w:cs="Adobe Arabic"/>
        </w:rPr>
        <w:t xml:space="preserve"> die TNC 640 </w:t>
      </w:r>
      <w:r w:rsidR="00C74652">
        <w:rPr>
          <w:rFonts w:cs="Adobe Arabic"/>
        </w:rPr>
        <w:t xml:space="preserve">auch </w:t>
      </w:r>
      <w:r>
        <w:rPr>
          <w:rFonts w:cs="Adobe Arabic"/>
        </w:rPr>
        <w:t xml:space="preserve">beim Zyklus „Zahnrad Abwälzfräsen“. </w:t>
      </w:r>
      <w:r w:rsidRPr="004B142C">
        <w:rPr>
          <w:rFonts w:cs="Adobe Arabic"/>
        </w:rPr>
        <w:t>Um bei unvorherges</w:t>
      </w:r>
      <w:r w:rsidR="00C74652">
        <w:rPr>
          <w:rFonts w:cs="Adobe Arabic"/>
        </w:rPr>
        <w:t xml:space="preserve">ehenen Programmunterbrechungen, </w:t>
      </w:r>
      <w:r>
        <w:rPr>
          <w:rFonts w:cs="Adobe Arabic"/>
        </w:rPr>
        <w:t xml:space="preserve">z. B. </w:t>
      </w:r>
      <w:r w:rsidRPr="004B142C">
        <w:rPr>
          <w:rFonts w:cs="Adobe Arabic"/>
        </w:rPr>
        <w:t>einem Stromausfall, Schäden zu vermeiden, unterstützen beide Zyklen einen optimierten Lift</w:t>
      </w:r>
      <w:r>
        <w:rPr>
          <w:rFonts w:cs="Adobe Arabic"/>
        </w:rPr>
        <w:t>-</w:t>
      </w:r>
      <w:r w:rsidRPr="004B142C">
        <w:rPr>
          <w:rFonts w:cs="Adobe Arabic"/>
        </w:rPr>
        <w:t xml:space="preserve">off. Dabei </w:t>
      </w:r>
      <w:r>
        <w:rPr>
          <w:rFonts w:cs="Adobe Arabic"/>
        </w:rPr>
        <w:t xml:space="preserve">bestimmen die Zyklen automatisch </w:t>
      </w:r>
      <w:r w:rsidRPr="004B142C">
        <w:rPr>
          <w:rFonts w:cs="Adobe Arabic"/>
        </w:rPr>
        <w:t>sowohl Richtung</w:t>
      </w:r>
      <w:r>
        <w:rPr>
          <w:rFonts w:cs="Adobe Arabic"/>
        </w:rPr>
        <w:t xml:space="preserve"> als auch </w:t>
      </w:r>
      <w:r w:rsidRPr="004B142C">
        <w:rPr>
          <w:rFonts w:cs="Adobe Arabic"/>
        </w:rPr>
        <w:t>Weg für den Rückzug</w:t>
      </w:r>
      <w:r>
        <w:rPr>
          <w:rFonts w:cs="Adobe Arabic"/>
        </w:rPr>
        <w:t xml:space="preserve"> des Werkzeugs vom Werkstück</w:t>
      </w:r>
      <w:r w:rsidRPr="004B142C">
        <w:rPr>
          <w:rFonts w:cs="Adobe Arabic"/>
        </w:rPr>
        <w:t>.</w:t>
      </w:r>
    </w:p>
    <w:p w:rsidR="00874F9F" w:rsidRDefault="00874F9F" w:rsidP="00874F9F">
      <w:pPr>
        <w:spacing w:line="276" w:lineRule="auto"/>
        <w:rPr>
          <w:rFonts w:cs="Adobe Arabic"/>
        </w:rPr>
      </w:pPr>
      <w:r>
        <w:rPr>
          <w:rFonts w:cs="Adobe Arabic"/>
        </w:rPr>
        <w:t xml:space="preserve">Die Basis der neuen Zahnrad-Zyklen bildet der Zyklus „Zahnrad definieren“. Er dient, wie sein Name schon sagt, ausschließlich zur Definition der Verzahnungsgeometrie. Dadurch muss der Anwender die Geometriedefinition für alle im weiteren Fertigungsablauf erforderlichen Bearbeitungsschritte nur ein einziges Mal vornehmen. </w:t>
      </w:r>
    </w:p>
    <w:p w:rsidR="00C74652" w:rsidRDefault="00C74652" w:rsidP="00C74652">
      <w:pPr>
        <w:tabs>
          <w:tab w:val="left" w:pos="2663"/>
        </w:tabs>
        <w:spacing w:line="276" w:lineRule="auto"/>
        <w:rPr>
          <w:rFonts w:cs="Adobe Arabic"/>
        </w:rPr>
      </w:pPr>
      <w:r>
        <w:rPr>
          <w:rFonts w:cs="Adobe Arabic"/>
        </w:rPr>
        <w:tab/>
      </w:r>
    </w:p>
    <w:p w:rsidR="00C74652" w:rsidRPr="007B7AA9" w:rsidRDefault="00C74652" w:rsidP="00C74652">
      <w:pPr>
        <w:spacing w:line="276" w:lineRule="auto"/>
        <w:rPr>
          <w:rFonts w:cs="Adobe Arabic"/>
          <w:b/>
        </w:rPr>
      </w:pPr>
      <w:r>
        <w:rPr>
          <w:rFonts w:cs="Adobe Arabic"/>
          <w:b/>
        </w:rPr>
        <w:t xml:space="preserve">Sensorbox EIB 5200: Intelligenter Motorschutz für sichere Bearbeitungsprozesse </w:t>
      </w:r>
    </w:p>
    <w:p w:rsidR="00763BA7" w:rsidRPr="00763BA7" w:rsidRDefault="00763BA7" w:rsidP="00763BA7">
      <w:pPr>
        <w:spacing w:line="276" w:lineRule="auto"/>
        <w:rPr>
          <w:rFonts w:cs="Adobe Arabic"/>
        </w:rPr>
      </w:pPr>
      <w:r w:rsidRPr="00763BA7">
        <w:rPr>
          <w:rFonts w:cs="Adobe Arabic"/>
        </w:rPr>
        <w:t xml:space="preserve">Für Maschinenhersteller bieten die applikationsnahe Digitalisierung von Sensorinformationen und die digitale Übertragung dieser Informationen an die Steuerung zahlreiche Vorteile. Dazu gehört </w:t>
      </w:r>
      <w:r w:rsidR="00D07140">
        <w:rPr>
          <w:rFonts w:cs="Adobe Arabic"/>
        </w:rPr>
        <w:t xml:space="preserve">natürlich </w:t>
      </w:r>
      <w:r w:rsidRPr="00763BA7">
        <w:rPr>
          <w:rFonts w:cs="Adobe Arabic"/>
        </w:rPr>
        <w:t xml:space="preserve">der reduzierte Verkabelungsaufwand. Vor allem erhöht die optimierte Auswertbarkeit der Informationen </w:t>
      </w:r>
      <w:r w:rsidR="00D07140">
        <w:rPr>
          <w:rFonts w:cs="Adobe Arabic"/>
        </w:rPr>
        <w:t xml:space="preserve">aber </w:t>
      </w:r>
      <w:r w:rsidRPr="00763BA7">
        <w:rPr>
          <w:rFonts w:cs="Adobe Arabic"/>
        </w:rPr>
        <w:t>Sicherheit und Effizienz der Bearbeitungsprozesse.</w:t>
      </w:r>
    </w:p>
    <w:p w:rsidR="0028532B" w:rsidRPr="00763BA7" w:rsidRDefault="0028532B" w:rsidP="0028532B">
      <w:pPr>
        <w:spacing w:line="276" w:lineRule="auto"/>
        <w:rPr>
          <w:rFonts w:cs="Adobe Arabic"/>
        </w:rPr>
      </w:pPr>
      <w:r w:rsidRPr="00763BA7">
        <w:rPr>
          <w:rFonts w:cs="Adobe Arabic"/>
        </w:rPr>
        <w:t xml:space="preserve">Die neue Sensorbox EIB 5200 macht die Temperaturdaten </w:t>
      </w:r>
      <w:r>
        <w:rPr>
          <w:rFonts w:cs="Adobe Arabic"/>
        </w:rPr>
        <w:t xml:space="preserve">eines </w:t>
      </w:r>
      <w:r w:rsidRPr="00763BA7">
        <w:rPr>
          <w:rFonts w:cs="Adobe Arabic"/>
        </w:rPr>
        <w:t>Direktantrieb</w:t>
      </w:r>
      <w:r>
        <w:rPr>
          <w:rFonts w:cs="Adobe Arabic"/>
        </w:rPr>
        <w:t>s</w:t>
      </w:r>
      <w:r w:rsidRPr="00763BA7">
        <w:rPr>
          <w:rFonts w:cs="Adobe Arabic"/>
        </w:rPr>
        <w:t>, z.</w:t>
      </w:r>
      <w:r>
        <w:rPr>
          <w:rFonts w:cs="Adobe Arabic"/>
        </w:rPr>
        <w:t> </w:t>
      </w:r>
      <w:r w:rsidRPr="00763BA7">
        <w:rPr>
          <w:rFonts w:cs="Adobe Arabic"/>
        </w:rPr>
        <w:t xml:space="preserve">B. vom Torquemotor eines Rundtisches, einfach nutzbar. </w:t>
      </w:r>
      <w:r>
        <w:rPr>
          <w:rFonts w:cs="Adobe Arabic"/>
        </w:rPr>
        <w:t xml:space="preserve">Dazu wird die Sensorbox </w:t>
      </w:r>
      <w:r w:rsidRPr="00763BA7">
        <w:rPr>
          <w:rFonts w:cs="Adobe Arabic"/>
        </w:rPr>
        <w:t>in unmittelbarer Nähe zum Motor</w:t>
      </w:r>
      <w:r>
        <w:rPr>
          <w:rFonts w:cs="Adobe Arabic"/>
        </w:rPr>
        <w:t xml:space="preserve"> eingebaut und </w:t>
      </w:r>
      <w:r w:rsidRPr="00763BA7">
        <w:rPr>
          <w:rFonts w:cs="Adobe Arabic"/>
        </w:rPr>
        <w:t xml:space="preserve">zwischen Winkelmessgerät und </w:t>
      </w:r>
      <w:r>
        <w:rPr>
          <w:rFonts w:cs="Adobe Arabic"/>
        </w:rPr>
        <w:t>Maschinens</w:t>
      </w:r>
      <w:r w:rsidRPr="00763BA7">
        <w:rPr>
          <w:rFonts w:cs="Adobe Arabic"/>
        </w:rPr>
        <w:t>teuerung eingeschleift</w:t>
      </w:r>
      <w:r>
        <w:rPr>
          <w:rFonts w:cs="Adobe Arabic"/>
        </w:rPr>
        <w:t xml:space="preserve">. So installiert, überträgt sie </w:t>
      </w:r>
      <w:r w:rsidRPr="00763BA7">
        <w:rPr>
          <w:rFonts w:cs="Adobe Arabic"/>
        </w:rPr>
        <w:t>neben den Positionsdaten auch die vorverarbeiteten Temperaturdaten</w:t>
      </w:r>
      <w:r>
        <w:rPr>
          <w:rFonts w:cs="Adobe Arabic"/>
        </w:rPr>
        <w:t xml:space="preserve"> über serielle Schnittstellen</w:t>
      </w:r>
      <w:r w:rsidRPr="00763BA7">
        <w:rPr>
          <w:rFonts w:cs="Adobe Arabic"/>
        </w:rPr>
        <w:t xml:space="preserve"> nicht nur an HEIDENHAIN-Steuerungen, sondern auch an die meisten am Markt verfügbaren Maschinensteuerungen, z.</w:t>
      </w:r>
      <w:r>
        <w:rPr>
          <w:rFonts w:cs="Adobe Arabic"/>
        </w:rPr>
        <w:t> </w:t>
      </w:r>
      <w:r w:rsidRPr="00763BA7">
        <w:rPr>
          <w:rFonts w:cs="Adobe Arabic"/>
        </w:rPr>
        <w:t xml:space="preserve">B. von Siemens, Fanuc oder Mitsubishi. </w:t>
      </w:r>
    </w:p>
    <w:p w:rsidR="0028532B" w:rsidRDefault="00763BA7" w:rsidP="00763BA7">
      <w:pPr>
        <w:spacing w:line="276" w:lineRule="auto"/>
        <w:rPr>
          <w:rFonts w:cs="Adobe Arabic"/>
        </w:rPr>
      </w:pPr>
      <w:r w:rsidRPr="00763BA7">
        <w:rPr>
          <w:rFonts w:cs="Adobe Arabic"/>
        </w:rPr>
        <w:t>Torquemotore</w:t>
      </w:r>
      <w:r w:rsidR="0015437C">
        <w:rPr>
          <w:rFonts w:cs="Adobe Arabic"/>
        </w:rPr>
        <w:t xml:space="preserve">n – </w:t>
      </w:r>
      <w:r w:rsidRPr="00763BA7">
        <w:rPr>
          <w:rFonts w:cs="Adobe Arabic"/>
        </w:rPr>
        <w:t xml:space="preserve">speziell </w:t>
      </w:r>
      <w:r w:rsidR="0015437C">
        <w:rPr>
          <w:rFonts w:cs="Adobe Arabic"/>
        </w:rPr>
        <w:t>von</w:t>
      </w:r>
      <w:r w:rsidRPr="00763BA7">
        <w:rPr>
          <w:rFonts w:cs="Adobe Arabic"/>
        </w:rPr>
        <w:t xml:space="preserve"> </w:t>
      </w:r>
      <w:r w:rsidR="0015437C">
        <w:rPr>
          <w:rFonts w:cs="Adobe Arabic"/>
        </w:rPr>
        <w:t xml:space="preserve">ETEL – </w:t>
      </w:r>
      <w:r w:rsidRPr="00763BA7">
        <w:rPr>
          <w:rFonts w:cs="Adobe Arabic"/>
        </w:rPr>
        <w:t>verfügen über eine besonders hohe Leistung bei sehr kompaktem Bauraum. Damit einher geht in bestimmten Bearbeitungssituationen eine große Überhitzungsgefahr</w:t>
      </w:r>
      <w:r w:rsidR="0015437C">
        <w:rPr>
          <w:rFonts w:cs="Adobe Arabic"/>
        </w:rPr>
        <w:t>,</w:t>
      </w:r>
      <w:r w:rsidRPr="00763BA7">
        <w:rPr>
          <w:rFonts w:cs="Adobe Arabic"/>
        </w:rPr>
        <w:t xml:space="preserve"> wenn aufgrund einer unsymmetrischen Stromverteilung in den Wicklungen die Temperatur einer Wicklung sprunghaft ansteigt. </w:t>
      </w:r>
      <w:r w:rsidR="0028532B" w:rsidRPr="00763BA7">
        <w:rPr>
          <w:rFonts w:cs="Adobe Arabic"/>
        </w:rPr>
        <w:t xml:space="preserve">Die Sensorbox EIB 5200, die Ende 2019 in Serie lieferbar sein wird, </w:t>
      </w:r>
      <w:r w:rsidR="0028532B">
        <w:rPr>
          <w:rFonts w:cs="Adobe Arabic"/>
        </w:rPr>
        <w:t>überwacht</w:t>
      </w:r>
      <w:r w:rsidR="0028532B" w:rsidRPr="0028532B">
        <w:rPr>
          <w:rFonts w:cs="Adobe Arabic"/>
        </w:rPr>
        <w:t xml:space="preserve"> </w:t>
      </w:r>
      <w:r w:rsidR="0028532B" w:rsidRPr="00763BA7">
        <w:rPr>
          <w:rFonts w:cs="Adobe Arabic"/>
        </w:rPr>
        <w:t>alle drei Wicklungen</w:t>
      </w:r>
      <w:r w:rsidR="0028532B">
        <w:rPr>
          <w:rFonts w:cs="Adobe Arabic"/>
        </w:rPr>
        <w:t>.</w:t>
      </w:r>
      <w:r w:rsidR="0028532B" w:rsidRPr="0028532B">
        <w:rPr>
          <w:rFonts w:cs="Adobe Arabic"/>
        </w:rPr>
        <w:t xml:space="preserve"> </w:t>
      </w:r>
      <w:r w:rsidR="0028532B">
        <w:rPr>
          <w:rFonts w:cs="Adobe Arabic"/>
        </w:rPr>
        <w:t>Wenn – wie bei ETEL-Torquemotoren – das thermische</w:t>
      </w:r>
      <w:r w:rsidR="0028532B" w:rsidRPr="00763BA7">
        <w:rPr>
          <w:rFonts w:cs="Adobe Arabic"/>
        </w:rPr>
        <w:t xml:space="preserve"> Motormodell</w:t>
      </w:r>
      <w:r w:rsidR="0028532B">
        <w:rPr>
          <w:rFonts w:cs="Adobe Arabic"/>
        </w:rPr>
        <w:t xml:space="preserve"> bekannt und hinterlegt ist, detektiert sie einen sprunghaften</w:t>
      </w:r>
      <w:r w:rsidR="0028532B" w:rsidRPr="00763BA7">
        <w:rPr>
          <w:rFonts w:cs="Adobe Arabic"/>
        </w:rPr>
        <w:t xml:space="preserve"> Temperatur</w:t>
      </w:r>
      <w:r w:rsidR="00872A7C">
        <w:rPr>
          <w:rFonts w:cs="Adobe Arabic"/>
        </w:rPr>
        <w:t>a</w:t>
      </w:r>
      <w:r w:rsidR="00872A7C" w:rsidRPr="00763BA7">
        <w:rPr>
          <w:rFonts w:cs="Adobe Arabic"/>
        </w:rPr>
        <w:t xml:space="preserve">nstieg </w:t>
      </w:r>
      <w:r w:rsidR="00002432">
        <w:rPr>
          <w:rFonts w:cs="Adobe Arabic"/>
        </w:rPr>
        <w:t xml:space="preserve">sehr schnell, </w:t>
      </w:r>
      <w:r w:rsidR="0028532B">
        <w:rPr>
          <w:rFonts w:cs="Adobe Arabic"/>
        </w:rPr>
        <w:t xml:space="preserve">vermeidet </w:t>
      </w:r>
      <w:r w:rsidR="0028532B" w:rsidRPr="00763BA7">
        <w:rPr>
          <w:rFonts w:cs="Adobe Arabic"/>
        </w:rPr>
        <w:t xml:space="preserve">eine </w:t>
      </w:r>
      <w:r w:rsidR="00002432">
        <w:rPr>
          <w:rFonts w:cs="Adobe Arabic"/>
        </w:rPr>
        <w:t xml:space="preserve">Beschädigung der Motorwicklungen und </w:t>
      </w:r>
      <w:r w:rsidR="0028532B" w:rsidRPr="00763BA7">
        <w:rPr>
          <w:rFonts w:cs="Adobe Arabic"/>
        </w:rPr>
        <w:t xml:space="preserve">bietet einen umfassenden Motorschutz vor Überhitzung. </w:t>
      </w:r>
      <w:r w:rsidR="0028532B">
        <w:rPr>
          <w:rFonts w:cs="Adobe Arabic"/>
        </w:rPr>
        <w:t xml:space="preserve"> </w:t>
      </w:r>
    </w:p>
    <w:p w:rsidR="0028532B" w:rsidRDefault="0028532B" w:rsidP="00763BA7">
      <w:pPr>
        <w:spacing w:line="276" w:lineRule="auto"/>
        <w:rPr>
          <w:rFonts w:cs="Adobe Arabic"/>
        </w:rPr>
      </w:pPr>
    </w:p>
    <w:p w:rsidR="007B7AA9" w:rsidRPr="007B7AA9" w:rsidRDefault="007B7AA9" w:rsidP="00E75C4F">
      <w:pPr>
        <w:spacing w:line="276" w:lineRule="auto"/>
        <w:rPr>
          <w:rFonts w:cs="Adobe Arabic"/>
          <w:b/>
        </w:rPr>
      </w:pPr>
      <w:r w:rsidRPr="007B7AA9">
        <w:rPr>
          <w:rFonts w:cs="Adobe Arabic"/>
          <w:b/>
        </w:rPr>
        <w:t>TNC Club Lounge</w:t>
      </w:r>
      <w:r w:rsidR="003248AC">
        <w:rPr>
          <w:rFonts w:cs="Adobe Arabic"/>
          <w:b/>
        </w:rPr>
        <w:t xml:space="preserve">: </w:t>
      </w:r>
      <w:r w:rsidR="003248AC" w:rsidRPr="007B7AA9">
        <w:rPr>
          <w:rFonts w:cs="Adobe Arabic"/>
          <w:b/>
        </w:rPr>
        <w:t xml:space="preserve">Treffpunkt </w:t>
      </w:r>
      <w:r w:rsidR="003248AC">
        <w:rPr>
          <w:rFonts w:cs="Adobe Arabic"/>
          <w:b/>
        </w:rPr>
        <w:t xml:space="preserve">Expertenwissen </w:t>
      </w:r>
    </w:p>
    <w:p w:rsidR="007B7AA9" w:rsidRDefault="007B7AA9" w:rsidP="00E75C4F">
      <w:pPr>
        <w:spacing w:line="276" w:lineRule="auto"/>
        <w:rPr>
          <w:rFonts w:cs="Adobe Arabic"/>
        </w:rPr>
      </w:pPr>
      <w:r w:rsidRPr="007B7AA9">
        <w:rPr>
          <w:rFonts w:cs="Adobe Arabic"/>
        </w:rPr>
        <w:t xml:space="preserve">Die TNC Club Lounge ist der Treffpunkt und das Austauschforum für Expertenwissen rund um die HEIDENHAIN-Steuerungen. Hier dreht sich alles um die Qualifikation der Anwender, damit sie das Potential </w:t>
      </w:r>
      <w:r w:rsidR="00A41780">
        <w:rPr>
          <w:rFonts w:cs="Adobe Arabic"/>
        </w:rPr>
        <w:t>ihrer</w:t>
      </w:r>
      <w:r w:rsidRPr="007B7AA9">
        <w:rPr>
          <w:rFonts w:cs="Adobe Arabic"/>
        </w:rPr>
        <w:t xml:space="preserve"> </w:t>
      </w:r>
      <w:r w:rsidR="00A41780">
        <w:rPr>
          <w:rFonts w:cs="Adobe Arabic"/>
        </w:rPr>
        <w:t>Fräs- und Drehs</w:t>
      </w:r>
      <w:r w:rsidRPr="007B7AA9">
        <w:rPr>
          <w:rFonts w:cs="Adobe Arabic"/>
        </w:rPr>
        <w:t>teuerungen noch besser nutzen können. Dazu gehören vor allem Weiterbildungs- und Schulungsangebote sowie die besondere Anwenderunterstützung, die HEIDENHAIN im Rahmen des TNC Clubs bietet.</w:t>
      </w:r>
      <w:r w:rsidR="003C5BD5">
        <w:rPr>
          <w:rFonts w:cs="Adobe Arabic"/>
        </w:rPr>
        <w:t xml:space="preserve"> </w:t>
      </w:r>
      <w:r w:rsidR="0066548E">
        <w:rPr>
          <w:rFonts w:cs="Adobe Arabic"/>
        </w:rPr>
        <w:t>Herz</w:t>
      </w:r>
      <w:r w:rsidR="00A41780">
        <w:rPr>
          <w:rFonts w:cs="Adobe Arabic"/>
        </w:rPr>
        <w:t xml:space="preserve"> des TNC </w:t>
      </w:r>
      <w:r w:rsidR="00A41780">
        <w:rPr>
          <w:rFonts w:cs="Adobe Arabic"/>
        </w:rPr>
        <w:lastRenderedPageBreak/>
        <w:t>Clubs sind die regionalen Angebote. Dazu gehören Anwendertage vor Ort bei den TNC Club-Mitgliedern im Betrieb ebenso wie regionale Anwenderschulungen an den verschiedensten Standorten in Deutschland und Österreich. Deshalb wird a</w:t>
      </w:r>
      <w:r w:rsidR="003248AC">
        <w:rPr>
          <w:rFonts w:cs="Adobe Arabic"/>
        </w:rPr>
        <w:t xml:space="preserve">uf der AMB </w:t>
      </w:r>
      <w:r w:rsidR="00A41780">
        <w:rPr>
          <w:rFonts w:cs="Adobe Arabic"/>
        </w:rPr>
        <w:t xml:space="preserve">auch </w:t>
      </w:r>
      <w:r w:rsidR="003248AC">
        <w:rPr>
          <w:rFonts w:cs="Adobe Arabic"/>
        </w:rPr>
        <w:t xml:space="preserve">Selcuk Cumart </w:t>
      </w:r>
      <w:r w:rsidR="003C5BD5">
        <w:rPr>
          <w:rFonts w:cs="Adobe Arabic"/>
        </w:rPr>
        <w:t xml:space="preserve">als </w:t>
      </w:r>
      <w:r w:rsidR="00E26617">
        <w:rPr>
          <w:rFonts w:cs="Adobe Arabic"/>
        </w:rPr>
        <w:t>regionale</w:t>
      </w:r>
      <w:r w:rsidR="003248AC">
        <w:rPr>
          <w:rFonts w:cs="Adobe Arabic"/>
        </w:rPr>
        <w:t>r</w:t>
      </w:r>
      <w:r w:rsidR="00E26617">
        <w:rPr>
          <w:rFonts w:cs="Adobe Arabic"/>
        </w:rPr>
        <w:t xml:space="preserve"> </w:t>
      </w:r>
      <w:r w:rsidR="003C5BD5">
        <w:rPr>
          <w:rFonts w:cs="Adobe Arabic"/>
        </w:rPr>
        <w:t xml:space="preserve">Ansprechpartner </w:t>
      </w:r>
      <w:r w:rsidR="00E75C4F">
        <w:rPr>
          <w:rFonts w:cs="Adobe Arabic"/>
        </w:rPr>
        <w:t xml:space="preserve">für Südwestdeutschland </w:t>
      </w:r>
      <w:r w:rsidR="003C5BD5">
        <w:rPr>
          <w:rFonts w:cs="Adobe Arabic"/>
        </w:rPr>
        <w:t xml:space="preserve">in der </w:t>
      </w:r>
      <w:r w:rsidR="00E75C4F">
        <w:rPr>
          <w:rFonts w:cs="Adobe Arabic"/>
        </w:rPr>
        <w:t xml:space="preserve">TNC Club </w:t>
      </w:r>
      <w:r w:rsidR="003C5BD5">
        <w:rPr>
          <w:rFonts w:cs="Adobe Arabic"/>
        </w:rPr>
        <w:t>Lounge zur Verfügung</w:t>
      </w:r>
      <w:r w:rsidR="003248AC">
        <w:rPr>
          <w:rFonts w:cs="Adobe Arabic"/>
        </w:rPr>
        <w:t xml:space="preserve"> stehen</w:t>
      </w:r>
      <w:r w:rsidR="00A41780">
        <w:rPr>
          <w:rFonts w:cs="Adobe Arabic"/>
        </w:rPr>
        <w:t xml:space="preserve"> und das TNC Club-Team unterstützen. </w:t>
      </w:r>
    </w:p>
    <w:p w:rsidR="00A41780" w:rsidRDefault="00A41780" w:rsidP="00E75C4F">
      <w:pPr>
        <w:spacing w:line="276" w:lineRule="auto"/>
        <w:rPr>
          <w:rFonts w:cs="Adobe Arabic"/>
        </w:rPr>
      </w:pPr>
    </w:p>
    <w:p w:rsidR="00640A19" w:rsidRPr="00640A19" w:rsidRDefault="00640A19" w:rsidP="00640A19">
      <w:pPr>
        <w:spacing w:line="276" w:lineRule="auto"/>
        <w:rPr>
          <w:rFonts w:cs="Adobe Arabic"/>
          <w:b/>
        </w:rPr>
      </w:pPr>
      <w:r w:rsidRPr="00640A19">
        <w:rPr>
          <w:rFonts w:cs="Adobe Arabic"/>
          <w:b/>
        </w:rPr>
        <w:t xml:space="preserve">Für eine Ausbildung im Maschinenbau begeistern: </w:t>
      </w:r>
    </w:p>
    <w:p w:rsidR="00640A19" w:rsidRPr="00640A19" w:rsidRDefault="00640A19" w:rsidP="00640A19">
      <w:pPr>
        <w:spacing w:line="276" w:lineRule="auto"/>
        <w:rPr>
          <w:rFonts w:cs="Adobe Arabic"/>
          <w:b/>
        </w:rPr>
      </w:pPr>
      <w:r w:rsidRPr="00640A19">
        <w:rPr>
          <w:rFonts w:cs="Adobe Arabic"/>
          <w:b/>
        </w:rPr>
        <w:t xml:space="preserve">Azubis von HEIDENHAIN und HERMLE geben Vollgas </w:t>
      </w:r>
    </w:p>
    <w:p w:rsidR="00640A19" w:rsidRDefault="00640A19" w:rsidP="00DD3A9C">
      <w:pPr>
        <w:spacing w:line="276" w:lineRule="auto"/>
        <w:rPr>
          <w:rFonts w:cs="Adobe Arabic"/>
        </w:rPr>
      </w:pPr>
      <w:r w:rsidRPr="00640A19">
        <w:rPr>
          <w:rFonts w:cs="Adobe Arabic"/>
        </w:rPr>
        <w:t>Nachwuchssorgen plagen den Maschinenbau vom kleinen Familienbetrieb bis hin zum internationalen Industrieunternehmen. Die Sonderschau Jugend wirkt dem entgegen, indem Auszubildende Schülerinnen und Schüler für eine Ausbildung begeistern.</w:t>
      </w:r>
      <w:r>
        <w:rPr>
          <w:rFonts w:cs="Adobe Arabic"/>
        </w:rPr>
        <w:t xml:space="preserve"> </w:t>
      </w:r>
    </w:p>
    <w:p w:rsidR="00DD3A9C" w:rsidRPr="00DD3A9C" w:rsidRDefault="00640A19" w:rsidP="00DD3A9C">
      <w:pPr>
        <w:spacing w:line="276" w:lineRule="auto"/>
        <w:rPr>
          <w:rFonts w:cs="Adobe Arabic"/>
        </w:rPr>
      </w:pPr>
      <w:r>
        <w:rPr>
          <w:rFonts w:cs="Adobe Arabic"/>
        </w:rPr>
        <w:t>Für die AMB ha</w:t>
      </w:r>
      <w:r w:rsidR="00B14821">
        <w:rPr>
          <w:rFonts w:cs="Adobe Arabic"/>
        </w:rPr>
        <w:t>b</w:t>
      </w:r>
      <w:r>
        <w:rPr>
          <w:rFonts w:cs="Adobe Arabic"/>
        </w:rPr>
        <w:t xml:space="preserve">en die </w:t>
      </w:r>
      <w:r w:rsidRPr="00640A19">
        <w:rPr>
          <w:rFonts w:cs="Adobe Arabic"/>
        </w:rPr>
        <w:t xml:space="preserve">Lehrwerkstätten von HERMLE und HEIDENHAIN </w:t>
      </w:r>
      <w:r>
        <w:rPr>
          <w:rFonts w:cs="Adobe Arabic"/>
        </w:rPr>
        <w:t xml:space="preserve">in Kooperation mit der </w:t>
      </w:r>
      <w:r w:rsidRPr="00640A19">
        <w:rPr>
          <w:rFonts w:cs="Adobe Arabic"/>
        </w:rPr>
        <w:t xml:space="preserve">Feintechnikschule Schwenningen (FTS) eine ganz besondere Idee: </w:t>
      </w:r>
      <w:r w:rsidRPr="00DD3A9C">
        <w:rPr>
          <w:rFonts w:cs="Adobe Arabic"/>
        </w:rPr>
        <w:t xml:space="preserve">Die Auszubildenden werden mit den Besuchern der Sonderschau einen Miniatur-Rennwagen produzieren. </w:t>
      </w:r>
      <w:r>
        <w:rPr>
          <w:rFonts w:cs="Adobe Arabic"/>
        </w:rPr>
        <w:t>Dabei können die Schülerinnen und Schüler</w:t>
      </w:r>
      <w:r w:rsidRPr="00640A19">
        <w:rPr>
          <w:rFonts w:cs="Adobe Arabic"/>
        </w:rPr>
        <w:t xml:space="preserve"> entdecken und erleben, wieviel Spaß der Umgang mit mechanischen und elektronischen Anlagen mach</w:t>
      </w:r>
      <w:r>
        <w:rPr>
          <w:rFonts w:cs="Adobe Arabic"/>
        </w:rPr>
        <w:t>t</w:t>
      </w:r>
      <w:r w:rsidRPr="00640A19">
        <w:rPr>
          <w:rFonts w:cs="Adobe Arabic"/>
        </w:rPr>
        <w:t>. Und das geht nun einmal am besten, wenn sie selbst konstruieren, programmieren und natürlich auch produzieren. </w:t>
      </w:r>
      <w:r w:rsidR="00DD3A9C" w:rsidRPr="00DD3A9C">
        <w:rPr>
          <w:rFonts w:cs="Adobe Arabic"/>
        </w:rPr>
        <w:t xml:space="preserve">Als Lohn für ihre Mühen dürfen die Schülerinnen und Schüler das Ergebnis ihrer ersten praktischen Handgriffe in der Metallbearbeitung mit nach Hause nehmen. </w:t>
      </w:r>
    </w:p>
    <w:p w:rsidR="00DD3A9C" w:rsidRDefault="00DD3A9C" w:rsidP="00DD3A9C">
      <w:pPr>
        <w:spacing w:line="276" w:lineRule="auto"/>
        <w:rPr>
          <w:rFonts w:cs="Adobe Arabic"/>
        </w:rPr>
      </w:pPr>
    </w:p>
    <w:p w:rsidR="00C74652" w:rsidRPr="00DD3A9C" w:rsidRDefault="00C74652" w:rsidP="00DD3A9C">
      <w:pPr>
        <w:spacing w:line="276" w:lineRule="auto"/>
        <w:rPr>
          <w:rFonts w:cs="Adobe Arabic"/>
        </w:rPr>
      </w:pPr>
    </w:p>
    <w:p w:rsidR="00C74652" w:rsidRDefault="00E324CE" w:rsidP="00C74652">
      <w:pPr>
        <w:spacing w:line="276" w:lineRule="auto"/>
        <w:rPr>
          <w:rFonts w:cs="Adobe Arabic"/>
        </w:rPr>
      </w:pPr>
      <w:r>
        <w:rPr>
          <w:rFonts w:cs="Adobe Arabic"/>
        </w:rPr>
        <w:t>Zu</w:t>
      </w:r>
      <w:r w:rsidR="00C74652">
        <w:rPr>
          <w:rFonts w:cs="Adobe Arabic"/>
        </w:rPr>
        <w:t xml:space="preserve">dem können sich die Besucher auf dem HEIDENHAIN-Stand über die drehmomentstarken </w:t>
      </w:r>
      <w:r w:rsidR="00C74652" w:rsidRPr="006B3818">
        <w:rPr>
          <w:rFonts w:cs="Adobe Arabic"/>
          <w:b/>
        </w:rPr>
        <w:t>ETEL-Torquemotoren</w:t>
      </w:r>
      <w:r w:rsidR="00C74652">
        <w:rPr>
          <w:rFonts w:cs="Adobe Arabic"/>
        </w:rPr>
        <w:t xml:space="preserve"> für Werkzeugmaschinen und die vielseitig einsetzbaren </w:t>
      </w:r>
      <w:r w:rsidR="00C74652" w:rsidRPr="006B3818">
        <w:rPr>
          <w:rFonts w:cs="Adobe Arabic"/>
          <w:b/>
        </w:rPr>
        <w:t>AMO-Winkelmessgeräte</w:t>
      </w:r>
      <w:r w:rsidR="00C74652">
        <w:rPr>
          <w:rFonts w:cs="Adobe Arabic"/>
        </w:rPr>
        <w:t xml:space="preserve"> mit patentiertem, rein induktiven Messprinzip informieren. </w:t>
      </w:r>
    </w:p>
    <w:p w:rsidR="00A41780" w:rsidRDefault="00A41780" w:rsidP="00E75C4F">
      <w:pPr>
        <w:spacing w:line="276" w:lineRule="auto"/>
        <w:rPr>
          <w:rFonts w:cs="Adobe Arabic"/>
        </w:rPr>
      </w:pPr>
    </w:p>
    <w:p w:rsidR="0015437C" w:rsidRDefault="0015437C" w:rsidP="00E75C4F">
      <w:pPr>
        <w:spacing w:line="276" w:lineRule="auto"/>
        <w:rPr>
          <w:rFonts w:cs="Adobe Arabic"/>
        </w:rPr>
      </w:pPr>
    </w:p>
    <w:p w:rsidR="00850D0A" w:rsidRDefault="00850D0A" w:rsidP="00E75C4F">
      <w:pPr>
        <w:tabs>
          <w:tab w:val="left" w:pos="2552"/>
          <w:tab w:val="left" w:pos="2694"/>
        </w:tabs>
        <w:spacing w:line="276" w:lineRule="auto"/>
        <w:rPr>
          <w:rFonts w:cs="Arial"/>
          <w:b/>
          <w:color w:val="333333"/>
          <w:szCs w:val="18"/>
          <w:shd w:val="clear" w:color="auto" w:fill="FFFFFF"/>
        </w:rPr>
      </w:pPr>
      <w:r>
        <w:rPr>
          <w:rFonts w:cs="Arial"/>
          <w:b/>
          <w:color w:val="333333"/>
          <w:szCs w:val="18"/>
          <w:shd w:val="clear" w:color="auto" w:fill="FFFFFF"/>
        </w:rPr>
        <w:t xml:space="preserve">HEIDENHAIN auf der AMB 2018: </w:t>
      </w:r>
    </w:p>
    <w:p w:rsidR="00850D0A" w:rsidRDefault="00850D0A" w:rsidP="00E75C4F">
      <w:pPr>
        <w:numPr>
          <w:ilvl w:val="0"/>
          <w:numId w:val="3"/>
        </w:numPr>
        <w:tabs>
          <w:tab w:val="left" w:pos="2608"/>
        </w:tabs>
        <w:spacing w:line="276" w:lineRule="auto"/>
        <w:rPr>
          <w:rFonts w:cs="Arial"/>
          <w:b/>
          <w:color w:val="333333"/>
          <w:szCs w:val="18"/>
          <w:shd w:val="clear" w:color="auto" w:fill="FFFFFF"/>
        </w:rPr>
      </w:pPr>
      <w:r w:rsidRPr="00354EC4">
        <w:rPr>
          <w:rFonts w:cs="Arial"/>
          <w:b/>
          <w:color w:val="333333"/>
          <w:szCs w:val="18"/>
          <w:shd w:val="clear" w:color="auto" w:fill="FFFFFF"/>
        </w:rPr>
        <w:t>Ha</w:t>
      </w:r>
      <w:r>
        <w:rPr>
          <w:rFonts w:cs="Arial"/>
          <w:b/>
          <w:color w:val="333333"/>
          <w:szCs w:val="18"/>
          <w:shd w:val="clear" w:color="auto" w:fill="FFFFFF"/>
        </w:rPr>
        <w:t xml:space="preserve">lle 2, Stand 2D03 </w:t>
      </w:r>
      <w:r>
        <w:rPr>
          <w:rFonts w:cs="Arial"/>
          <w:b/>
          <w:color w:val="333333"/>
          <w:szCs w:val="18"/>
          <w:shd w:val="clear" w:color="auto" w:fill="FFFFFF"/>
        </w:rPr>
        <w:tab/>
        <w:t xml:space="preserve">– </w:t>
      </w:r>
      <w:r>
        <w:rPr>
          <w:rFonts w:cs="Arial"/>
          <w:b/>
          <w:color w:val="333333"/>
          <w:szCs w:val="18"/>
          <w:shd w:val="clear" w:color="auto" w:fill="FFFFFF"/>
        </w:rPr>
        <w:tab/>
        <w:t>HEIDENHAIN-Stand</w:t>
      </w:r>
    </w:p>
    <w:p w:rsidR="00850D0A" w:rsidRPr="00412194" w:rsidRDefault="00850D0A" w:rsidP="00E75C4F">
      <w:pPr>
        <w:numPr>
          <w:ilvl w:val="0"/>
          <w:numId w:val="3"/>
        </w:numPr>
        <w:tabs>
          <w:tab w:val="left" w:pos="2608"/>
        </w:tabs>
        <w:spacing w:line="276" w:lineRule="auto"/>
        <w:rPr>
          <w:rFonts w:cs="Arial"/>
          <w:b/>
          <w:color w:val="333333"/>
          <w:szCs w:val="18"/>
          <w:shd w:val="clear" w:color="auto" w:fill="FFFFFF"/>
          <w:lang w:val="en-US"/>
        </w:rPr>
      </w:pPr>
      <w:r w:rsidRPr="00412194">
        <w:rPr>
          <w:rFonts w:cs="Arial"/>
          <w:b/>
          <w:color w:val="333333"/>
          <w:szCs w:val="18"/>
          <w:shd w:val="clear" w:color="auto" w:fill="FFFFFF"/>
          <w:lang w:val="en-US"/>
        </w:rPr>
        <w:t xml:space="preserve">Halle </w:t>
      </w:r>
      <w:r>
        <w:rPr>
          <w:rFonts w:cs="Arial"/>
          <w:b/>
          <w:color w:val="333333"/>
          <w:szCs w:val="18"/>
          <w:shd w:val="clear" w:color="auto" w:fill="FFFFFF"/>
          <w:lang w:val="en-US"/>
        </w:rPr>
        <w:t>2</w:t>
      </w:r>
      <w:r w:rsidRPr="00412194">
        <w:rPr>
          <w:rFonts w:cs="Arial"/>
          <w:b/>
          <w:color w:val="333333"/>
          <w:szCs w:val="18"/>
          <w:shd w:val="clear" w:color="auto" w:fill="FFFFFF"/>
          <w:lang w:val="en-US"/>
        </w:rPr>
        <w:t xml:space="preserve">, Stand </w:t>
      </w:r>
      <w:r>
        <w:rPr>
          <w:rFonts w:cs="Arial"/>
          <w:b/>
          <w:color w:val="333333"/>
          <w:szCs w:val="18"/>
          <w:shd w:val="clear" w:color="auto" w:fill="FFFFFF"/>
          <w:lang w:val="en-US"/>
        </w:rPr>
        <w:t>2</w:t>
      </w:r>
      <w:r w:rsidRPr="00412194">
        <w:rPr>
          <w:rFonts w:cs="Arial"/>
          <w:b/>
          <w:color w:val="333333"/>
          <w:szCs w:val="18"/>
          <w:shd w:val="clear" w:color="auto" w:fill="FFFFFF"/>
          <w:lang w:val="en-US"/>
        </w:rPr>
        <w:t>C</w:t>
      </w:r>
      <w:r>
        <w:rPr>
          <w:rFonts w:cs="Arial"/>
          <w:b/>
          <w:color w:val="333333"/>
          <w:szCs w:val="18"/>
          <w:shd w:val="clear" w:color="auto" w:fill="FFFFFF"/>
          <w:lang w:val="en-US"/>
        </w:rPr>
        <w:t xml:space="preserve">02 </w:t>
      </w:r>
      <w:r w:rsidRPr="00412194">
        <w:rPr>
          <w:rFonts w:cs="Arial"/>
          <w:b/>
          <w:color w:val="333333"/>
          <w:szCs w:val="18"/>
          <w:shd w:val="clear" w:color="auto" w:fill="FFFFFF"/>
          <w:lang w:val="en-US"/>
        </w:rPr>
        <w:tab/>
        <w:t>–</w:t>
      </w:r>
      <w:r>
        <w:rPr>
          <w:rFonts w:cs="Arial"/>
          <w:b/>
          <w:color w:val="333333"/>
          <w:szCs w:val="18"/>
          <w:shd w:val="clear" w:color="auto" w:fill="FFFFFF"/>
          <w:lang w:val="en-US"/>
        </w:rPr>
        <w:t xml:space="preserve"> </w:t>
      </w:r>
      <w:r w:rsidRPr="00412194">
        <w:rPr>
          <w:rFonts w:cs="Arial"/>
          <w:b/>
          <w:color w:val="333333"/>
          <w:szCs w:val="18"/>
          <w:shd w:val="clear" w:color="auto" w:fill="FFFFFF"/>
          <w:lang w:val="en-US"/>
        </w:rPr>
        <w:tab/>
        <w:t>TNC Club Lounge</w:t>
      </w:r>
    </w:p>
    <w:p w:rsidR="003248AC" w:rsidRPr="003248AC" w:rsidRDefault="00850D0A" w:rsidP="00E75C4F">
      <w:pPr>
        <w:numPr>
          <w:ilvl w:val="0"/>
          <w:numId w:val="3"/>
        </w:numPr>
        <w:spacing w:line="276" w:lineRule="auto"/>
        <w:ind w:left="357" w:hanging="357"/>
        <w:rPr>
          <w:rFonts w:cs="Adobe Arabic"/>
        </w:rPr>
      </w:pPr>
      <w:r w:rsidRPr="003248AC">
        <w:rPr>
          <w:rFonts w:cs="Arial"/>
          <w:b/>
          <w:color w:val="333333"/>
          <w:szCs w:val="18"/>
          <w:shd w:val="clear" w:color="auto" w:fill="FFFFFF"/>
        </w:rPr>
        <w:t xml:space="preserve">Atrium  – </w:t>
      </w:r>
      <w:r w:rsidRPr="003248AC">
        <w:rPr>
          <w:rFonts w:cs="Arial"/>
          <w:b/>
          <w:color w:val="333333"/>
          <w:szCs w:val="18"/>
          <w:shd w:val="clear" w:color="auto" w:fill="FFFFFF"/>
        </w:rPr>
        <w:tab/>
      </w:r>
      <w:r w:rsidR="003248AC">
        <w:rPr>
          <w:rFonts w:cs="Arial"/>
          <w:b/>
          <w:color w:val="333333"/>
          <w:szCs w:val="18"/>
          <w:shd w:val="clear" w:color="auto" w:fill="FFFFFF"/>
        </w:rPr>
        <w:t>Sonderschau Jugend</w:t>
      </w:r>
    </w:p>
    <w:p w:rsidR="00A6670B" w:rsidRDefault="00A6670B" w:rsidP="00A6670B">
      <w:pPr>
        <w:spacing w:line="276" w:lineRule="auto"/>
        <w:rPr>
          <w:rFonts w:cs="Adobe Arabic"/>
        </w:rPr>
      </w:pPr>
    </w:p>
    <w:p w:rsidR="00427AE3" w:rsidRDefault="00427AE3" w:rsidP="00427AE3">
      <w:pPr>
        <w:autoSpaceDE w:val="0"/>
        <w:autoSpaceDN w:val="0"/>
        <w:adjustRightInd w:val="0"/>
        <w:spacing w:line="276" w:lineRule="auto"/>
        <w:rPr>
          <w:rFonts w:cs="Arial"/>
          <w:sz w:val="20"/>
          <w:szCs w:val="20"/>
        </w:rPr>
      </w:pPr>
    </w:p>
    <w:p w:rsidR="00427AE3" w:rsidRPr="003D4CB9" w:rsidRDefault="00427AE3" w:rsidP="00427AE3">
      <w:pPr>
        <w:autoSpaceDE w:val="0"/>
        <w:autoSpaceDN w:val="0"/>
        <w:adjustRightInd w:val="0"/>
        <w:spacing w:line="276" w:lineRule="auto"/>
        <w:rPr>
          <w:rFonts w:cs="Arial"/>
          <w:b/>
          <w:i/>
          <w:iCs/>
          <w:sz w:val="20"/>
          <w:szCs w:val="20"/>
        </w:rPr>
      </w:pPr>
      <w:r w:rsidRPr="003D4CB9">
        <w:rPr>
          <w:rFonts w:cs="Arial"/>
          <w:b/>
          <w:i/>
          <w:iCs/>
          <w:sz w:val="20"/>
          <w:szCs w:val="20"/>
        </w:rPr>
        <w:t>Kontakt für die Fachpresse:</w:t>
      </w:r>
    </w:p>
    <w:p w:rsidR="00427AE3" w:rsidRPr="003D4CB9" w:rsidRDefault="00427AE3" w:rsidP="00427AE3">
      <w:pPr>
        <w:autoSpaceDE w:val="0"/>
        <w:autoSpaceDN w:val="0"/>
        <w:adjustRightInd w:val="0"/>
        <w:spacing w:line="276" w:lineRule="auto"/>
        <w:rPr>
          <w:rFonts w:cs="Arial"/>
          <w:sz w:val="20"/>
          <w:szCs w:val="20"/>
        </w:rPr>
      </w:pPr>
      <w:r w:rsidRPr="003D4CB9">
        <w:rPr>
          <w:rFonts w:cs="Arial"/>
          <w:sz w:val="20"/>
          <w:szCs w:val="20"/>
        </w:rPr>
        <w:t>Frank Muthmann</w:t>
      </w:r>
    </w:p>
    <w:p w:rsidR="00427AE3" w:rsidRPr="003D4CB9" w:rsidRDefault="00427AE3" w:rsidP="00427AE3">
      <w:pPr>
        <w:autoSpaceDE w:val="0"/>
        <w:autoSpaceDN w:val="0"/>
        <w:adjustRightInd w:val="0"/>
        <w:spacing w:line="276" w:lineRule="auto"/>
        <w:rPr>
          <w:rFonts w:cs="Arial"/>
          <w:sz w:val="20"/>
          <w:szCs w:val="20"/>
        </w:rPr>
      </w:pPr>
      <w:r w:rsidRPr="003D4CB9">
        <w:rPr>
          <w:rFonts w:cs="Arial"/>
          <w:sz w:val="20"/>
          <w:szCs w:val="20"/>
        </w:rPr>
        <w:t>DR. JOHANNES HEIDENHAIN GmbH</w:t>
      </w:r>
    </w:p>
    <w:p w:rsidR="00427AE3" w:rsidRPr="003D4CB9" w:rsidRDefault="00427AE3" w:rsidP="00427AE3">
      <w:pPr>
        <w:autoSpaceDE w:val="0"/>
        <w:autoSpaceDN w:val="0"/>
        <w:adjustRightInd w:val="0"/>
        <w:spacing w:line="276" w:lineRule="auto"/>
        <w:rPr>
          <w:rFonts w:cs="Arial"/>
          <w:sz w:val="20"/>
          <w:szCs w:val="20"/>
        </w:rPr>
      </w:pPr>
      <w:r w:rsidRPr="003D4CB9">
        <w:rPr>
          <w:rFonts w:cs="Arial"/>
          <w:sz w:val="20"/>
          <w:szCs w:val="20"/>
        </w:rPr>
        <w:t>83292 Traunreut, GERMANY</w:t>
      </w:r>
    </w:p>
    <w:p w:rsidR="00427AE3" w:rsidRPr="003D4CB9" w:rsidRDefault="00427AE3" w:rsidP="00427AE3">
      <w:pPr>
        <w:autoSpaceDE w:val="0"/>
        <w:autoSpaceDN w:val="0"/>
        <w:adjustRightInd w:val="0"/>
        <w:spacing w:line="276" w:lineRule="auto"/>
        <w:rPr>
          <w:rFonts w:cs="Arial"/>
          <w:sz w:val="20"/>
          <w:szCs w:val="20"/>
        </w:rPr>
      </w:pPr>
      <w:r w:rsidRPr="003D4CB9">
        <w:rPr>
          <w:rFonts w:cs="Arial"/>
          <w:sz w:val="20"/>
          <w:szCs w:val="20"/>
        </w:rPr>
        <w:t>Tel.: +49 8669 31-2188</w:t>
      </w:r>
    </w:p>
    <w:p w:rsidR="00427AE3" w:rsidRPr="003D4CB9" w:rsidRDefault="00F82348" w:rsidP="00427AE3">
      <w:pPr>
        <w:autoSpaceDE w:val="0"/>
        <w:autoSpaceDN w:val="0"/>
        <w:adjustRightInd w:val="0"/>
        <w:spacing w:line="276" w:lineRule="auto"/>
        <w:rPr>
          <w:rFonts w:cs="Arial"/>
          <w:sz w:val="20"/>
          <w:szCs w:val="20"/>
        </w:rPr>
      </w:pPr>
      <w:hyperlink r:id="rId8" w:history="1">
        <w:r w:rsidR="00427AE3" w:rsidRPr="003D4CB9">
          <w:rPr>
            <w:rStyle w:val="Hyperlink"/>
            <w:rFonts w:cs="Arial"/>
            <w:sz w:val="20"/>
            <w:szCs w:val="20"/>
          </w:rPr>
          <w:t>muthmann@heidenhain.de</w:t>
        </w:r>
      </w:hyperlink>
    </w:p>
    <w:p w:rsidR="00002432" w:rsidRDefault="00002432"/>
    <w:p w:rsidR="00002432" w:rsidRDefault="00002432"/>
    <w:tbl>
      <w:tblPr>
        <w:tblStyle w:val="Tabellenraster"/>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85" w:type="dxa"/>
          <w:left w:w="85" w:type="dxa"/>
          <w:bottom w:w="85" w:type="dxa"/>
          <w:right w:w="85" w:type="dxa"/>
        </w:tblCellMar>
        <w:tblLook w:val="04A0" w:firstRow="1" w:lastRow="0" w:firstColumn="1" w:lastColumn="0" w:noHBand="0" w:noVBand="1"/>
      </w:tblPr>
      <w:tblGrid>
        <w:gridCol w:w="4677"/>
        <w:gridCol w:w="4677"/>
      </w:tblGrid>
      <w:tr w:rsidR="0067470E" w:rsidRPr="003D4CB9" w:rsidTr="003248AC">
        <w:tc>
          <w:tcPr>
            <w:tcW w:w="4677" w:type="dxa"/>
            <w:vAlign w:val="bottom"/>
          </w:tcPr>
          <w:p w:rsidR="0067470E" w:rsidRDefault="0067470E" w:rsidP="00E75C4F">
            <w:pPr>
              <w:spacing w:line="276" w:lineRule="auto"/>
              <w:rPr>
                <w:noProof/>
                <w:lang w:eastAsia="de-DE"/>
              </w:rPr>
            </w:pPr>
            <w:r>
              <w:rPr>
                <w:noProof/>
                <w:lang w:eastAsia="de-DE"/>
              </w:rPr>
              <w:drawing>
                <wp:inline distT="0" distB="0" distL="0" distR="0" wp14:anchorId="415560CE" wp14:editId="036F9FF2">
                  <wp:extent cx="2847975" cy="1228725"/>
                  <wp:effectExtent l="0" t="0" r="9525" b="9525"/>
                  <wp:docPr id="5" name="Grafik 5" descr="O:\Persoenliche_Ordner\Poestgens\Documents\Texte\Messen\AMB\AMB 2018\Key_Visual_AMB_nur Bildmoti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Persoenliche_Ordner\Poestgens\Documents\Texte\Messen\AMB\AMB 2018\Key_Visual_AMB_nur Bildmotiv.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47975" cy="1228725"/>
                          </a:xfrm>
                          <a:prstGeom prst="rect">
                            <a:avLst/>
                          </a:prstGeom>
                          <a:noFill/>
                          <a:ln>
                            <a:noFill/>
                          </a:ln>
                        </pic:spPr>
                      </pic:pic>
                    </a:graphicData>
                  </a:graphic>
                </wp:inline>
              </w:drawing>
            </w:r>
          </w:p>
        </w:tc>
        <w:tc>
          <w:tcPr>
            <w:tcW w:w="4677" w:type="dxa"/>
            <w:vAlign w:val="bottom"/>
          </w:tcPr>
          <w:p w:rsidR="0067470E" w:rsidRDefault="00237BF3" w:rsidP="00E75C4F">
            <w:pPr>
              <w:autoSpaceDE w:val="0"/>
              <w:autoSpaceDN w:val="0"/>
              <w:adjustRightInd w:val="0"/>
              <w:rPr>
                <w:rFonts w:cs="Arial"/>
                <w:i/>
              </w:rPr>
            </w:pPr>
            <w:r>
              <w:rPr>
                <w:rFonts w:cs="Adobe Arabic"/>
                <w:i/>
              </w:rPr>
              <w:t>Connected Machining für die Fräs- und Drehsteuerungen von HEIDENHAIN stellt den Anwender an der Maschine in den Mittelpunkt der vernetzten Prozesskette.</w:t>
            </w:r>
          </w:p>
        </w:tc>
      </w:tr>
      <w:tr w:rsidR="004926F2" w:rsidRPr="003D4CB9" w:rsidTr="003248AC">
        <w:tc>
          <w:tcPr>
            <w:tcW w:w="4677" w:type="dxa"/>
            <w:vAlign w:val="bottom"/>
          </w:tcPr>
          <w:p w:rsidR="004926F2" w:rsidRDefault="004926F2" w:rsidP="00E75C4F">
            <w:pPr>
              <w:spacing w:line="276" w:lineRule="auto"/>
              <w:rPr>
                <w:noProof/>
                <w:lang w:eastAsia="de-DE"/>
              </w:rPr>
            </w:pPr>
            <w:bookmarkStart w:id="0" w:name="_GoBack"/>
            <w:bookmarkEnd w:id="0"/>
          </w:p>
        </w:tc>
        <w:tc>
          <w:tcPr>
            <w:tcW w:w="4677" w:type="dxa"/>
            <w:vAlign w:val="bottom"/>
          </w:tcPr>
          <w:p w:rsidR="004926F2" w:rsidRPr="004926F2" w:rsidRDefault="004926F2" w:rsidP="00E75C4F">
            <w:pPr>
              <w:autoSpaceDE w:val="0"/>
              <w:autoSpaceDN w:val="0"/>
              <w:adjustRightInd w:val="0"/>
              <w:rPr>
                <w:rFonts w:cs="Arial"/>
                <w:i/>
              </w:rPr>
            </w:pPr>
          </w:p>
        </w:tc>
      </w:tr>
      <w:tr w:rsidR="00E75C4F" w:rsidRPr="003D4CB9" w:rsidTr="003248AC">
        <w:tc>
          <w:tcPr>
            <w:tcW w:w="4677" w:type="dxa"/>
            <w:vAlign w:val="bottom"/>
          </w:tcPr>
          <w:p w:rsidR="00E75C4F" w:rsidRDefault="00E75C4F" w:rsidP="00E75C4F">
            <w:pPr>
              <w:spacing w:line="276" w:lineRule="auto"/>
              <w:rPr>
                <w:noProof/>
                <w:lang w:eastAsia="de-DE"/>
              </w:rPr>
            </w:pPr>
            <w:r>
              <w:rPr>
                <w:noProof/>
                <w:lang w:eastAsia="de-DE"/>
              </w:rPr>
              <w:drawing>
                <wp:inline distT="0" distB="0" distL="0" distR="0">
                  <wp:extent cx="2857500" cy="2143125"/>
                  <wp:effectExtent l="0" t="0" r="0" b="9525"/>
                  <wp:docPr id="2" name="Grafik 2" descr="O:\Persoenliche_Ordner\Poestgens\Documents\Texte\Presse\Presse-Kits\HEIDENHAIN METAV 2018\Connected Machining\Bilder\HEIDENHAIN_Connected Machining_StateMonitor Besprechu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Persoenliche_Ordner\Poestgens\Documents\Texte\Presse\Presse-Kits\HEIDENHAIN METAV 2018\Connected Machining\Bilder\HEIDENHAIN_Connected Machining_StateMonitor Besprechung.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57500" cy="2143125"/>
                          </a:xfrm>
                          <a:prstGeom prst="rect">
                            <a:avLst/>
                          </a:prstGeom>
                          <a:noFill/>
                          <a:ln>
                            <a:noFill/>
                          </a:ln>
                        </pic:spPr>
                      </pic:pic>
                    </a:graphicData>
                  </a:graphic>
                </wp:inline>
              </w:drawing>
            </w:r>
          </w:p>
        </w:tc>
        <w:tc>
          <w:tcPr>
            <w:tcW w:w="4677" w:type="dxa"/>
            <w:vAlign w:val="bottom"/>
          </w:tcPr>
          <w:p w:rsidR="00E75C4F" w:rsidRDefault="00E75C4F" w:rsidP="00E75C4F">
            <w:pPr>
              <w:autoSpaceDE w:val="0"/>
              <w:autoSpaceDN w:val="0"/>
              <w:adjustRightInd w:val="0"/>
              <w:rPr>
                <w:rFonts w:cs="Arial"/>
                <w:i/>
              </w:rPr>
            </w:pPr>
            <w:r>
              <w:rPr>
                <w:rFonts w:cs="Arial"/>
                <w:i/>
              </w:rPr>
              <w:t xml:space="preserve">HEIDENHAIN </w:t>
            </w:r>
            <w:r w:rsidRPr="00E75C4F">
              <w:rPr>
                <w:rFonts w:cs="Arial"/>
                <w:i/>
              </w:rPr>
              <w:t xml:space="preserve">StateMonitor visualisiert die Zustände der angebundenen Maschinen in übersichtlichen Charts und Grafiken. </w:t>
            </w:r>
            <w:r>
              <w:rPr>
                <w:rFonts w:cs="Arial"/>
                <w:i/>
              </w:rPr>
              <w:t xml:space="preserve">So stehen auch in </w:t>
            </w:r>
            <w:r w:rsidRPr="00E75C4F">
              <w:rPr>
                <w:rFonts w:cs="Arial"/>
                <w:i/>
              </w:rPr>
              <w:t xml:space="preserve">Besprechungen </w:t>
            </w:r>
            <w:r>
              <w:rPr>
                <w:rFonts w:cs="Arial"/>
                <w:i/>
              </w:rPr>
              <w:t>a</w:t>
            </w:r>
            <w:r w:rsidRPr="00E75C4F">
              <w:rPr>
                <w:rFonts w:cs="Arial"/>
                <w:i/>
              </w:rPr>
              <w:t>ktuelle Informationen über laufende Prozesse</w:t>
            </w:r>
            <w:r>
              <w:rPr>
                <w:rFonts w:cs="Arial"/>
                <w:i/>
              </w:rPr>
              <w:t xml:space="preserve"> zur Verfügung</w:t>
            </w:r>
            <w:r w:rsidRPr="00E75C4F">
              <w:rPr>
                <w:rFonts w:cs="Arial"/>
                <w:i/>
              </w:rPr>
              <w:t>.</w:t>
            </w:r>
          </w:p>
        </w:tc>
      </w:tr>
      <w:tr w:rsidR="00B82F13" w:rsidRPr="00B66955" w:rsidTr="00A636A6">
        <w:tc>
          <w:tcPr>
            <w:tcW w:w="4677" w:type="dxa"/>
            <w:vAlign w:val="bottom"/>
          </w:tcPr>
          <w:p w:rsidR="00B82F13" w:rsidRDefault="00C85CD3" w:rsidP="00A636A6">
            <w:pPr>
              <w:spacing w:line="276" w:lineRule="auto"/>
              <w:rPr>
                <w:rFonts w:cs="Arial"/>
                <w:i/>
                <w:noProof/>
                <w:lang w:eastAsia="de-DE"/>
              </w:rPr>
            </w:pPr>
            <w:r>
              <w:rPr>
                <w:rFonts w:cs="Arial"/>
                <w:i/>
                <w:noProof/>
                <w:lang w:eastAsia="de-DE"/>
              </w:rPr>
              <w:drawing>
                <wp:inline distT="0" distB="0" distL="0" distR="0">
                  <wp:extent cx="2861945" cy="1609725"/>
                  <wp:effectExtent l="0" t="0" r="0" b="952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1094805-01_de.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61945" cy="1609725"/>
                          </a:xfrm>
                          <a:prstGeom prst="rect">
                            <a:avLst/>
                          </a:prstGeom>
                        </pic:spPr>
                      </pic:pic>
                    </a:graphicData>
                  </a:graphic>
                </wp:inline>
              </w:drawing>
            </w:r>
          </w:p>
        </w:tc>
        <w:tc>
          <w:tcPr>
            <w:tcW w:w="4677" w:type="dxa"/>
            <w:vAlign w:val="bottom"/>
          </w:tcPr>
          <w:p w:rsidR="00B82F13" w:rsidRPr="00B66955" w:rsidRDefault="00B82F13" w:rsidP="00881AD5">
            <w:pPr>
              <w:autoSpaceDE w:val="0"/>
              <w:autoSpaceDN w:val="0"/>
              <w:adjustRightInd w:val="0"/>
              <w:rPr>
                <w:rFonts w:cs="Arial"/>
                <w:i/>
              </w:rPr>
            </w:pPr>
            <w:r w:rsidRPr="00B66955">
              <w:rPr>
                <w:rFonts w:cs="Arial"/>
                <w:i/>
              </w:rPr>
              <w:t>Ein neuer 24</w:t>
            </w:r>
            <w:r w:rsidR="00C85CD3" w:rsidRPr="00B66955">
              <w:rPr>
                <w:rFonts w:cs="Arial"/>
                <w:i/>
              </w:rPr>
              <w:t>”</w:t>
            </w:r>
            <w:r w:rsidRPr="00B66955">
              <w:rPr>
                <w:rFonts w:cs="Arial"/>
                <w:i/>
              </w:rPr>
              <w:t>-Widescreen für die TNC 640 ermöglicht die parallele Ansicht verschiedener Inhalte auf einem Bildschirm. Während der Hauptbereich den Steuerungsbildschirm anzeigt, kann</w:t>
            </w:r>
            <w:r w:rsidR="00C85CD3" w:rsidRPr="00B66955">
              <w:rPr>
                <w:rFonts w:cs="Arial"/>
                <w:i/>
              </w:rPr>
              <w:t xml:space="preserve"> sich</w:t>
            </w:r>
            <w:r w:rsidRPr="00B66955">
              <w:rPr>
                <w:rFonts w:cs="Arial"/>
                <w:i/>
              </w:rPr>
              <w:t xml:space="preserve"> der Anwender daneben zusätzliche </w:t>
            </w:r>
            <w:r w:rsidR="00881AD5" w:rsidRPr="00B66955">
              <w:rPr>
                <w:rFonts w:cs="Arial"/>
                <w:i/>
              </w:rPr>
              <w:t>Informationen</w:t>
            </w:r>
            <w:r w:rsidRPr="00B66955">
              <w:rPr>
                <w:rFonts w:cs="Arial"/>
                <w:i/>
              </w:rPr>
              <w:t xml:space="preserve"> einblenden lassen</w:t>
            </w:r>
            <w:r w:rsidR="00C85CD3" w:rsidRPr="00B66955">
              <w:rPr>
                <w:rFonts w:cs="Arial"/>
                <w:i/>
              </w:rPr>
              <w:t xml:space="preserve">, z. B. </w:t>
            </w:r>
            <w:r w:rsidR="00881AD5" w:rsidRPr="00B66955">
              <w:rPr>
                <w:rFonts w:cs="Arial"/>
                <w:i/>
              </w:rPr>
              <w:t>die PDF-Datei der Werkstückzeichnung</w:t>
            </w:r>
            <w:r w:rsidRPr="00B66955">
              <w:rPr>
                <w:rFonts w:cs="Arial"/>
                <w:i/>
              </w:rPr>
              <w:t xml:space="preserve">. </w:t>
            </w:r>
          </w:p>
        </w:tc>
      </w:tr>
      <w:tr w:rsidR="00B82F13" w:rsidRPr="003D4CB9" w:rsidTr="00B10A14">
        <w:tc>
          <w:tcPr>
            <w:tcW w:w="4677" w:type="dxa"/>
            <w:vAlign w:val="bottom"/>
          </w:tcPr>
          <w:p w:rsidR="00B82F13" w:rsidRDefault="00B82F13" w:rsidP="00B10A14">
            <w:pPr>
              <w:spacing w:line="276" w:lineRule="auto"/>
              <w:rPr>
                <w:noProof/>
                <w:lang w:eastAsia="de-DE"/>
              </w:rPr>
            </w:pPr>
            <w:r>
              <w:rPr>
                <w:rFonts w:cs="Arial"/>
                <w:i/>
                <w:noProof/>
                <w:lang w:eastAsia="de-DE"/>
              </w:rPr>
              <w:drawing>
                <wp:inline distT="0" distB="0" distL="0" distR="0" wp14:anchorId="2DD30083" wp14:editId="12C77284">
                  <wp:extent cx="2848680" cy="1898942"/>
                  <wp:effectExtent l="0" t="0" r="8890" b="635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0_MUSS_IN_DIE_MDB\0_Shooting\2018_07_06_Waelzschaelen\Rohdaten\_I0A6079.JPG"/>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2848680" cy="189894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677" w:type="dxa"/>
            <w:vAlign w:val="bottom"/>
          </w:tcPr>
          <w:p w:rsidR="00B82F13" w:rsidRDefault="00B82F13" w:rsidP="00B10A14">
            <w:pPr>
              <w:autoSpaceDE w:val="0"/>
              <w:autoSpaceDN w:val="0"/>
              <w:adjustRightInd w:val="0"/>
              <w:rPr>
                <w:rFonts w:cs="Arial"/>
                <w:i/>
              </w:rPr>
            </w:pPr>
            <w:r>
              <w:rPr>
                <w:rFonts w:cs="Arial"/>
                <w:i/>
              </w:rPr>
              <w:t xml:space="preserve">Mit neuen Zyklen für die TNC 640 ermöglicht HEIDENHAIN die einfache Programmierung komplexer Verzahnungen, z. B. für das Wälzschälen von Innenverzahnungen. </w:t>
            </w:r>
          </w:p>
        </w:tc>
      </w:tr>
      <w:tr w:rsidR="00B82F13" w:rsidRPr="003D4CB9" w:rsidTr="00BA41C0">
        <w:tc>
          <w:tcPr>
            <w:tcW w:w="4677" w:type="dxa"/>
            <w:vAlign w:val="bottom"/>
          </w:tcPr>
          <w:p w:rsidR="00B82F13" w:rsidRDefault="00B82F13" w:rsidP="00BA41C0">
            <w:pPr>
              <w:spacing w:line="276" w:lineRule="auto"/>
              <w:rPr>
                <w:rFonts w:cs="Arial"/>
                <w:i/>
                <w:noProof/>
                <w:lang w:eastAsia="de-DE"/>
              </w:rPr>
            </w:pPr>
            <w:r>
              <w:rPr>
                <w:rFonts w:cs="Arial"/>
                <w:i/>
                <w:noProof/>
                <w:lang w:eastAsia="de-DE"/>
              </w:rPr>
              <w:lastRenderedPageBreak/>
              <w:drawing>
                <wp:inline distT="0" distB="0" distL="0" distR="0" wp14:anchorId="17CDF44B" wp14:editId="53218FDA">
                  <wp:extent cx="2862000" cy="2146500"/>
                  <wp:effectExtent l="0" t="0" r="0" b="635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ensorbox_cmyk.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62000" cy="2146500"/>
                          </a:xfrm>
                          <a:prstGeom prst="rect">
                            <a:avLst/>
                          </a:prstGeom>
                        </pic:spPr>
                      </pic:pic>
                    </a:graphicData>
                  </a:graphic>
                </wp:inline>
              </w:drawing>
            </w:r>
          </w:p>
        </w:tc>
        <w:tc>
          <w:tcPr>
            <w:tcW w:w="4677" w:type="dxa"/>
            <w:vAlign w:val="bottom"/>
          </w:tcPr>
          <w:p w:rsidR="00B82F13" w:rsidRDefault="00B82F13" w:rsidP="000372C7">
            <w:pPr>
              <w:autoSpaceDE w:val="0"/>
              <w:autoSpaceDN w:val="0"/>
              <w:adjustRightInd w:val="0"/>
              <w:rPr>
                <w:rFonts w:cs="Arial"/>
                <w:i/>
              </w:rPr>
            </w:pPr>
            <w:r>
              <w:rPr>
                <w:rFonts w:cs="Arial"/>
                <w:i/>
              </w:rPr>
              <w:t xml:space="preserve">Die </w:t>
            </w:r>
            <w:r w:rsidRPr="00FC1248">
              <w:rPr>
                <w:rFonts w:cs="Arial"/>
                <w:i/>
              </w:rPr>
              <w:t>Sensorbox EIB 5200</w:t>
            </w:r>
            <w:r>
              <w:rPr>
                <w:rFonts w:cs="Arial"/>
                <w:i/>
              </w:rPr>
              <w:t xml:space="preserve"> bietet intelligenten</w:t>
            </w:r>
            <w:r w:rsidRPr="00FC1248">
              <w:rPr>
                <w:rFonts w:cs="Arial"/>
                <w:i/>
              </w:rPr>
              <w:t xml:space="preserve"> Motorschutz für </w:t>
            </w:r>
            <w:r>
              <w:rPr>
                <w:rFonts w:cs="Arial"/>
                <w:i/>
              </w:rPr>
              <w:t xml:space="preserve">den Bearbeitungsprozess. </w:t>
            </w:r>
            <w:r w:rsidRPr="00FC1248">
              <w:rPr>
                <w:rFonts w:cs="Arial"/>
                <w:i/>
              </w:rPr>
              <w:t>Zusatzinformationen aus dem Motorsystem</w:t>
            </w:r>
            <w:r>
              <w:rPr>
                <w:rFonts w:cs="Arial"/>
                <w:i/>
              </w:rPr>
              <w:t xml:space="preserve"> </w:t>
            </w:r>
            <w:r w:rsidR="000372C7">
              <w:rPr>
                <w:rFonts w:cs="Arial"/>
                <w:i/>
              </w:rPr>
              <w:t xml:space="preserve">sind </w:t>
            </w:r>
            <w:r w:rsidRPr="00FC1248">
              <w:rPr>
                <w:rFonts w:cs="Arial"/>
                <w:i/>
              </w:rPr>
              <w:t xml:space="preserve">einfach und mit reduziertem Verkabelungsaufwand nutzbar. </w:t>
            </w:r>
          </w:p>
        </w:tc>
      </w:tr>
      <w:tr w:rsidR="00BB4F23" w:rsidRPr="003D4CB9" w:rsidTr="00427AE3">
        <w:tc>
          <w:tcPr>
            <w:tcW w:w="4677" w:type="dxa"/>
            <w:vAlign w:val="bottom"/>
          </w:tcPr>
          <w:p w:rsidR="00BB4F23" w:rsidRDefault="00BB4F23" w:rsidP="00E75C4F">
            <w:pPr>
              <w:spacing w:line="276" w:lineRule="auto"/>
              <w:rPr>
                <w:noProof/>
                <w:lang w:eastAsia="de-DE"/>
              </w:rPr>
            </w:pPr>
            <w:r>
              <w:rPr>
                <w:noProof/>
                <w:lang w:eastAsia="de-DE"/>
              </w:rPr>
              <w:drawing>
                <wp:inline distT="0" distB="0" distL="0" distR="0">
                  <wp:extent cx="2861945" cy="1908175"/>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__AMB_Einladung_03.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861945" cy="1908175"/>
                          </a:xfrm>
                          <a:prstGeom prst="rect">
                            <a:avLst/>
                          </a:prstGeom>
                        </pic:spPr>
                      </pic:pic>
                    </a:graphicData>
                  </a:graphic>
                </wp:inline>
              </w:drawing>
            </w:r>
          </w:p>
        </w:tc>
        <w:tc>
          <w:tcPr>
            <w:tcW w:w="4677" w:type="dxa"/>
            <w:vAlign w:val="bottom"/>
          </w:tcPr>
          <w:p w:rsidR="00BB4F23" w:rsidRDefault="00427AE3" w:rsidP="00427AE3">
            <w:pPr>
              <w:autoSpaceDE w:val="0"/>
              <w:autoSpaceDN w:val="0"/>
              <w:adjustRightInd w:val="0"/>
              <w:rPr>
                <w:rFonts w:cs="Arial"/>
                <w:i/>
              </w:rPr>
            </w:pPr>
            <w:r>
              <w:rPr>
                <w:rFonts w:cs="Arial"/>
                <w:i/>
              </w:rPr>
              <w:t xml:space="preserve">In der TNC Club Lounge gibt es auch auf der AMB wieder besondere Angebote, um die Anwender von HEIDENHAIN Fräs- und Drehsteuerungen zu unterstützen. </w:t>
            </w:r>
          </w:p>
        </w:tc>
      </w:tr>
      <w:tr w:rsidR="00427AE3" w:rsidRPr="003D4CB9" w:rsidTr="003248AC">
        <w:tc>
          <w:tcPr>
            <w:tcW w:w="4677" w:type="dxa"/>
            <w:vAlign w:val="bottom"/>
          </w:tcPr>
          <w:p w:rsidR="00427AE3" w:rsidRDefault="00427AE3" w:rsidP="00E75C4F">
            <w:pPr>
              <w:spacing w:line="276" w:lineRule="auto"/>
              <w:rPr>
                <w:noProof/>
                <w:lang w:eastAsia="de-DE"/>
              </w:rPr>
            </w:pPr>
            <w:r>
              <w:rPr>
                <w:noProof/>
                <w:lang w:eastAsia="de-DE"/>
              </w:rPr>
              <w:drawing>
                <wp:inline distT="0" distB="0" distL="0" distR="0" wp14:anchorId="38BCC23F" wp14:editId="3C74C879">
                  <wp:extent cx="2861945" cy="1908175"/>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_G1_6311.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861945" cy="1908175"/>
                          </a:xfrm>
                          <a:prstGeom prst="rect">
                            <a:avLst/>
                          </a:prstGeom>
                        </pic:spPr>
                      </pic:pic>
                    </a:graphicData>
                  </a:graphic>
                </wp:inline>
              </w:drawing>
            </w:r>
          </w:p>
        </w:tc>
        <w:tc>
          <w:tcPr>
            <w:tcW w:w="4677" w:type="dxa"/>
            <w:vAlign w:val="bottom"/>
          </w:tcPr>
          <w:p w:rsidR="00427AE3" w:rsidRDefault="00427AE3" w:rsidP="00427AE3">
            <w:pPr>
              <w:autoSpaceDE w:val="0"/>
              <w:autoSpaceDN w:val="0"/>
              <w:adjustRightInd w:val="0"/>
              <w:rPr>
                <w:rFonts w:cs="Arial"/>
                <w:i/>
              </w:rPr>
            </w:pPr>
            <w:r>
              <w:rPr>
                <w:rFonts w:cs="Arial"/>
                <w:i/>
              </w:rPr>
              <w:t>Das Auszubildendenprojekt von HEIDENHAIN, HERMLE und Feintechnikschule Schwenningen zur Sonderschau Jugend auf der AMB: Aus dem Kunststoffmodell eines Formel 1-Rennwagens…</w:t>
            </w:r>
          </w:p>
        </w:tc>
      </w:tr>
      <w:tr w:rsidR="00BB4F23" w:rsidRPr="003D4CB9" w:rsidTr="003248AC">
        <w:tc>
          <w:tcPr>
            <w:tcW w:w="4677" w:type="dxa"/>
            <w:vAlign w:val="bottom"/>
          </w:tcPr>
          <w:p w:rsidR="00BB4F23" w:rsidRDefault="00BB4F23" w:rsidP="00E75C4F">
            <w:pPr>
              <w:spacing w:line="276" w:lineRule="auto"/>
              <w:rPr>
                <w:noProof/>
                <w:lang w:eastAsia="de-DE"/>
              </w:rPr>
            </w:pPr>
            <w:r>
              <w:rPr>
                <w:noProof/>
                <w:lang w:eastAsia="de-DE"/>
              </w:rPr>
              <w:drawing>
                <wp:inline distT="0" distB="0" distL="0" distR="0">
                  <wp:extent cx="2861945" cy="190817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_G1_7160.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861945" cy="1908175"/>
                          </a:xfrm>
                          <a:prstGeom prst="rect">
                            <a:avLst/>
                          </a:prstGeom>
                        </pic:spPr>
                      </pic:pic>
                    </a:graphicData>
                  </a:graphic>
                </wp:inline>
              </w:drawing>
            </w:r>
          </w:p>
        </w:tc>
        <w:tc>
          <w:tcPr>
            <w:tcW w:w="4677" w:type="dxa"/>
            <w:vAlign w:val="bottom"/>
          </w:tcPr>
          <w:p w:rsidR="00BB4F23" w:rsidRDefault="00427AE3" w:rsidP="00E324CE">
            <w:pPr>
              <w:autoSpaceDE w:val="0"/>
              <w:autoSpaceDN w:val="0"/>
              <w:adjustRightInd w:val="0"/>
              <w:rPr>
                <w:rFonts w:cs="Arial"/>
                <w:i/>
              </w:rPr>
            </w:pPr>
            <w:r>
              <w:rPr>
                <w:rFonts w:cs="Arial"/>
                <w:i/>
              </w:rPr>
              <w:t xml:space="preserve">… entsteht ein gefrästes Modellauto. Die Besucher können </w:t>
            </w:r>
            <w:r w:rsidR="00E324CE">
              <w:rPr>
                <w:rFonts w:cs="Arial"/>
                <w:i/>
              </w:rPr>
              <w:t>bei</w:t>
            </w:r>
            <w:r>
              <w:rPr>
                <w:rFonts w:cs="Arial"/>
                <w:i/>
              </w:rPr>
              <w:t xml:space="preserve"> allen Fertigungsschritten mitmachen und </w:t>
            </w:r>
            <w:r w:rsidR="00E324CE">
              <w:rPr>
                <w:rFonts w:cs="Arial"/>
                <w:i/>
              </w:rPr>
              <w:t>erhalten</w:t>
            </w:r>
            <w:r>
              <w:rPr>
                <w:rFonts w:cs="Arial"/>
                <w:i/>
              </w:rPr>
              <w:t xml:space="preserve"> Infos zu den Ausbildungsberufen im Maschinenbau. </w:t>
            </w:r>
          </w:p>
        </w:tc>
      </w:tr>
    </w:tbl>
    <w:p w:rsidR="00F60FF8" w:rsidRPr="003D4CB9" w:rsidRDefault="00F60FF8" w:rsidP="00CA4C37">
      <w:pPr>
        <w:tabs>
          <w:tab w:val="left" w:pos="7784"/>
        </w:tabs>
        <w:spacing w:line="276" w:lineRule="auto"/>
        <w:rPr>
          <w:rFonts w:cs="Adobe Arabic"/>
        </w:rPr>
      </w:pPr>
    </w:p>
    <w:sectPr w:rsidR="00F60FF8" w:rsidRPr="003D4CB9" w:rsidSect="00002432">
      <w:headerReference w:type="default" r:id="rId17"/>
      <w:footerReference w:type="default" r:id="rId18"/>
      <w:pgSz w:w="11907" w:h="16840" w:code="9"/>
      <w:pgMar w:top="1418" w:right="1418" w:bottom="851" w:left="1418" w:header="567" w:footer="567" w:gutter="0"/>
      <w:cols w:space="720"/>
      <w:noEndnote/>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B06EE" w:rsidRDefault="006B06EE" w:rsidP="0091430D">
      <w:r>
        <w:separator/>
      </w:r>
    </w:p>
  </w:endnote>
  <w:endnote w:type="continuationSeparator" w:id="0">
    <w:p w:rsidR="006B06EE" w:rsidRDefault="006B06EE" w:rsidP="009143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dobe Arabic">
    <w:panose1 w:val="00000000000000000000"/>
    <w:charset w:val="00"/>
    <w:family w:val="roman"/>
    <w:notTrueType/>
    <w:pitch w:val="variable"/>
    <w:sig w:usb0="8000202F" w:usb1="8000A04A" w:usb2="00000008" w:usb3="00000000" w:csb0="00000041"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D5128" w:rsidRDefault="005D5128" w:rsidP="003D4CB9">
    <w:pPr>
      <w:pStyle w:val="Fuzeile"/>
      <w:tabs>
        <w:tab w:val="clear" w:pos="4536"/>
      </w:tabs>
      <w:rPr>
        <w:sz w:val="20"/>
      </w:rPr>
    </w:pPr>
  </w:p>
  <w:p w:rsidR="005D5128" w:rsidRDefault="005D5128" w:rsidP="003D4CB9">
    <w:pPr>
      <w:pStyle w:val="Fuzeile"/>
      <w:tabs>
        <w:tab w:val="clear" w:pos="4536"/>
      </w:tabs>
      <w:rPr>
        <w:sz w:val="20"/>
      </w:rPr>
    </w:pPr>
  </w:p>
  <w:p w:rsidR="003D4CB9" w:rsidRPr="00F432DE" w:rsidRDefault="00A6670B" w:rsidP="003D4CB9">
    <w:pPr>
      <w:pStyle w:val="Fuzeile"/>
      <w:tabs>
        <w:tab w:val="clear" w:pos="4536"/>
      </w:tabs>
      <w:rPr>
        <w:sz w:val="20"/>
      </w:rPr>
    </w:pPr>
    <w:r>
      <w:rPr>
        <w:sz w:val="20"/>
      </w:rPr>
      <w:t>Juli</w:t>
    </w:r>
    <w:r w:rsidR="0024063A">
      <w:rPr>
        <w:sz w:val="20"/>
      </w:rPr>
      <w:t xml:space="preserve"> </w:t>
    </w:r>
    <w:r w:rsidR="00093D3C">
      <w:rPr>
        <w:sz w:val="20"/>
      </w:rPr>
      <w:t>2018</w:t>
    </w:r>
    <w:r w:rsidR="003D4CB9" w:rsidRPr="00F432DE">
      <w:rPr>
        <w:sz w:val="20"/>
      </w:rPr>
      <w:tab/>
    </w:r>
    <w:sdt>
      <w:sdtPr>
        <w:rPr>
          <w:sz w:val="20"/>
        </w:rPr>
        <w:id w:val="-496501173"/>
        <w:docPartObj>
          <w:docPartGallery w:val="Page Numbers (Bottom of Page)"/>
          <w:docPartUnique/>
        </w:docPartObj>
      </w:sdtPr>
      <w:sdtEndPr/>
      <w:sdtContent>
        <w:r w:rsidR="003D4CB9" w:rsidRPr="00F432DE">
          <w:rPr>
            <w:sz w:val="20"/>
          </w:rPr>
          <w:t xml:space="preserve">Seite </w:t>
        </w:r>
        <w:r w:rsidR="003D4CB9" w:rsidRPr="00F432DE">
          <w:rPr>
            <w:sz w:val="20"/>
          </w:rPr>
          <w:fldChar w:fldCharType="begin"/>
        </w:r>
        <w:r w:rsidR="003D4CB9" w:rsidRPr="00F432DE">
          <w:rPr>
            <w:sz w:val="20"/>
          </w:rPr>
          <w:instrText>PAGE   \* MERGEFORMAT</w:instrText>
        </w:r>
        <w:r w:rsidR="003D4CB9" w:rsidRPr="00F432DE">
          <w:rPr>
            <w:sz w:val="20"/>
          </w:rPr>
          <w:fldChar w:fldCharType="separate"/>
        </w:r>
        <w:r w:rsidR="00F82348">
          <w:rPr>
            <w:noProof/>
            <w:sz w:val="20"/>
          </w:rPr>
          <w:t>4</w:t>
        </w:r>
        <w:r w:rsidR="003D4CB9" w:rsidRPr="00F432DE">
          <w:rPr>
            <w:sz w:val="20"/>
          </w:rPr>
          <w:fldChar w:fldCharType="end"/>
        </w:r>
      </w:sdtContent>
    </w:sdt>
  </w:p>
  <w:p w:rsidR="003D4CB9" w:rsidRDefault="003D4CB9">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B06EE" w:rsidRDefault="006B06EE" w:rsidP="0091430D">
      <w:r>
        <w:separator/>
      </w:r>
    </w:p>
  </w:footnote>
  <w:footnote w:type="continuationSeparator" w:id="0">
    <w:p w:rsidR="006B06EE" w:rsidRDefault="006B06EE" w:rsidP="0091430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555A6" w:rsidRDefault="00D2252D" w:rsidP="001938A0">
    <w:pPr>
      <w:pStyle w:val="Kopfzeile"/>
      <w:spacing w:before="120"/>
      <w:rPr>
        <w:b/>
      </w:rPr>
    </w:pPr>
    <w:r>
      <w:rPr>
        <w:b/>
      </w:rPr>
      <w:t>Presse-I</w:t>
    </w:r>
    <w:r w:rsidR="003555A6">
      <w:rPr>
        <w:b/>
      </w:rPr>
      <w:t>nform</w:t>
    </w:r>
    <w:r w:rsidR="003555A6" w:rsidRPr="00F14D45">
      <w:rPr>
        <w:b/>
      </w:rPr>
      <w:t>a</w:t>
    </w:r>
    <w:r w:rsidR="003555A6">
      <w:rPr>
        <w:b/>
      </w:rPr>
      <w:t>t</w:t>
    </w:r>
    <w:r w:rsidR="003555A6" w:rsidRPr="00F14D45">
      <w:rPr>
        <w:b/>
      </w:rPr>
      <w:t>ion</w:t>
    </w:r>
    <w:r w:rsidR="008808DE">
      <w:rPr>
        <w:b/>
      </w:rPr>
      <w:tab/>
    </w:r>
    <w:r w:rsidR="003555A6">
      <w:rPr>
        <w:b/>
      </w:rPr>
      <w:tab/>
    </w:r>
    <w:r w:rsidR="003555A6">
      <w:rPr>
        <w:b/>
        <w:noProof/>
        <w:lang w:eastAsia="de-DE"/>
      </w:rPr>
      <w:drawing>
        <wp:inline distT="0" distB="0" distL="0" distR="0">
          <wp:extent cx="1627505" cy="194310"/>
          <wp:effectExtent l="19050" t="0" r="0" b="0"/>
          <wp:docPr id="1" name="Bild 1" descr="HEIDENHAIN_kl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IDENHAIN_klein"/>
                  <pic:cNvPicPr>
                    <a:picLocks noChangeAspect="1" noChangeArrowheads="1"/>
                  </pic:cNvPicPr>
                </pic:nvPicPr>
                <pic:blipFill>
                  <a:blip r:embed="rId1"/>
                  <a:srcRect/>
                  <a:stretch>
                    <a:fillRect/>
                  </a:stretch>
                </pic:blipFill>
                <pic:spPr bwMode="auto">
                  <a:xfrm>
                    <a:off x="0" y="0"/>
                    <a:ext cx="1627505" cy="194310"/>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0CC2295"/>
    <w:multiLevelType w:val="hybridMultilevel"/>
    <w:tmpl w:val="4790E87A"/>
    <w:lvl w:ilvl="0" w:tplc="D66CA2A6">
      <w:numFmt w:val="bullet"/>
      <w:lvlText w:val=""/>
      <w:lvlJc w:val="left"/>
      <w:pPr>
        <w:ind w:left="360" w:hanging="360"/>
      </w:pPr>
      <w:rPr>
        <w:rFonts w:ascii="Symbol" w:eastAsiaTheme="minorHAnsi" w:hAnsi="Symbol" w:cs="Adobe Arabic" w:hint="default"/>
      </w:rPr>
    </w:lvl>
    <w:lvl w:ilvl="1" w:tplc="04070003">
      <w:start w:val="1"/>
      <w:numFmt w:val="decimal"/>
      <w:lvlText w:val="%2."/>
      <w:lvlJc w:val="left"/>
      <w:pPr>
        <w:tabs>
          <w:tab w:val="num" w:pos="1080"/>
        </w:tabs>
        <w:ind w:left="1080" w:hanging="360"/>
      </w:pPr>
    </w:lvl>
    <w:lvl w:ilvl="2" w:tplc="04070005">
      <w:start w:val="1"/>
      <w:numFmt w:val="decimal"/>
      <w:lvlText w:val="%3."/>
      <w:lvlJc w:val="left"/>
      <w:pPr>
        <w:tabs>
          <w:tab w:val="num" w:pos="1800"/>
        </w:tabs>
        <w:ind w:left="1800" w:hanging="360"/>
      </w:pPr>
    </w:lvl>
    <w:lvl w:ilvl="3" w:tplc="04070001">
      <w:start w:val="1"/>
      <w:numFmt w:val="decimal"/>
      <w:lvlText w:val="%4."/>
      <w:lvlJc w:val="left"/>
      <w:pPr>
        <w:tabs>
          <w:tab w:val="num" w:pos="2520"/>
        </w:tabs>
        <w:ind w:left="2520" w:hanging="360"/>
      </w:pPr>
    </w:lvl>
    <w:lvl w:ilvl="4" w:tplc="04070003">
      <w:start w:val="1"/>
      <w:numFmt w:val="decimal"/>
      <w:lvlText w:val="%5."/>
      <w:lvlJc w:val="left"/>
      <w:pPr>
        <w:tabs>
          <w:tab w:val="num" w:pos="3240"/>
        </w:tabs>
        <w:ind w:left="3240" w:hanging="360"/>
      </w:pPr>
    </w:lvl>
    <w:lvl w:ilvl="5" w:tplc="04070005">
      <w:start w:val="1"/>
      <w:numFmt w:val="decimal"/>
      <w:lvlText w:val="%6."/>
      <w:lvlJc w:val="left"/>
      <w:pPr>
        <w:tabs>
          <w:tab w:val="num" w:pos="3960"/>
        </w:tabs>
        <w:ind w:left="3960" w:hanging="360"/>
      </w:pPr>
    </w:lvl>
    <w:lvl w:ilvl="6" w:tplc="04070001">
      <w:start w:val="1"/>
      <w:numFmt w:val="decimal"/>
      <w:lvlText w:val="%7."/>
      <w:lvlJc w:val="left"/>
      <w:pPr>
        <w:tabs>
          <w:tab w:val="num" w:pos="4680"/>
        </w:tabs>
        <w:ind w:left="4680" w:hanging="360"/>
      </w:pPr>
    </w:lvl>
    <w:lvl w:ilvl="7" w:tplc="04070003">
      <w:start w:val="1"/>
      <w:numFmt w:val="decimal"/>
      <w:lvlText w:val="%8."/>
      <w:lvlJc w:val="left"/>
      <w:pPr>
        <w:tabs>
          <w:tab w:val="num" w:pos="5400"/>
        </w:tabs>
        <w:ind w:left="5400" w:hanging="360"/>
      </w:pPr>
    </w:lvl>
    <w:lvl w:ilvl="8" w:tplc="04070005">
      <w:start w:val="1"/>
      <w:numFmt w:val="decimal"/>
      <w:lvlText w:val="%9."/>
      <w:lvlJc w:val="left"/>
      <w:pPr>
        <w:tabs>
          <w:tab w:val="num" w:pos="6120"/>
        </w:tabs>
        <w:ind w:left="6120" w:hanging="360"/>
      </w:pPr>
    </w:lvl>
  </w:abstractNum>
  <w:abstractNum w:abstractNumId="1" w15:restartNumberingAfterBreak="0">
    <w:nsid w:val="129C2D66"/>
    <w:multiLevelType w:val="multilevel"/>
    <w:tmpl w:val="040C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2" w15:restartNumberingAfterBreak="0">
    <w:nsid w:val="45A21FFD"/>
    <w:multiLevelType w:val="hybridMultilevel"/>
    <w:tmpl w:val="C59218C2"/>
    <w:lvl w:ilvl="0" w:tplc="8B62B31A">
      <w:start w:val="1"/>
      <w:numFmt w:val="bullet"/>
      <w:lvlText w:val=""/>
      <w:lvlJc w:val="left"/>
      <w:pPr>
        <w:ind w:left="360" w:hanging="360"/>
      </w:pPr>
      <w:rPr>
        <w:rFonts w:ascii="Symbol" w:hAnsi="Symbol" w:hint="default"/>
        <w:color w:val="auto"/>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 w15:restartNumberingAfterBreak="0">
    <w:nsid w:val="4CA0626A"/>
    <w:multiLevelType w:val="hybridMultilevel"/>
    <w:tmpl w:val="B4A4A598"/>
    <w:lvl w:ilvl="0" w:tplc="4EF09EC2">
      <w:start w:val="1"/>
      <w:numFmt w:val="bullet"/>
      <w:lvlText w:val=""/>
      <w:lvlJc w:val="left"/>
      <w:pPr>
        <w:ind w:left="360" w:hanging="360"/>
      </w:pPr>
      <w:rPr>
        <w:rFonts w:ascii="Wingdings" w:hAnsi="Wingdings" w:hint="default"/>
        <w:color w:val="B5BD00"/>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1"/>
  </w:num>
  <w:num w:numId="2">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efaultTabStop w:val="709"/>
  <w:hyphenationZone w:val="425"/>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6312C"/>
    <w:rsid w:val="00002432"/>
    <w:rsid w:val="000053C5"/>
    <w:rsid w:val="000127D1"/>
    <w:rsid w:val="00020177"/>
    <w:rsid w:val="00026B4D"/>
    <w:rsid w:val="0003003E"/>
    <w:rsid w:val="00031835"/>
    <w:rsid w:val="0003362B"/>
    <w:rsid w:val="000372C7"/>
    <w:rsid w:val="00046798"/>
    <w:rsid w:val="00046E42"/>
    <w:rsid w:val="000504AC"/>
    <w:rsid w:val="0005391D"/>
    <w:rsid w:val="00061D94"/>
    <w:rsid w:val="00075EE6"/>
    <w:rsid w:val="00084A5C"/>
    <w:rsid w:val="000918CA"/>
    <w:rsid w:val="00093D3C"/>
    <w:rsid w:val="000A5575"/>
    <w:rsid w:val="000B0A57"/>
    <w:rsid w:val="000C3F0E"/>
    <w:rsid w:val="000C66E8"/>
    <w:rsid w:val="000D2B50"/>
    <w:rsid w:val="000E696D"/>
    <w:rsid w:val="000F0D19"/>
    <w:rsid w:val="000F370C"/>
    <w:rsid w:val="00105A0B"/>
    <w:rsid w:val="00106AEA"/>
    <w:rsid w:val="001076B5"/>
    <w:rsid w:val="00111162"/>
    <w:rsid w:val="00113A20"/>
    <w:rsid w:val="001277A3"/>
    <w:rsid w:val="001343DE"/>
    <w:rsid w:val="0015437C"/>
    <w:rsid w:val="001547A6"/>
    <w:rsid w:val="00155811"/>
    <w:rsid w:val="00162ED7"/>
    <w:rsid w:val="001938A0"/>
    <w:rsid w:val="001A68BD"/>
    <w:rsid w:val="001B6D6B"/>
    <w:rsid w:val="001B7062"/>
    <w:rsid w:val="00212759"/>
    <w:rsid w:val="00237BF3"/>
    <w:rsid w:val="0024063A"/>
    <w:rsid w:val="002667D8"/>
    <w:rsid w:val="00270A60"/>
    <w:rsid w:val="00274423"/>
    <w:rsid w:val="0028442E"/>
    <w:rsid w:val="0028532B"/>
    <w:rsid w:val="00290658"/>
    <w:rsid w:val="002A4DA5"/>
    <w:rsid w:val="002B701A"/>
    <w:rsid w:val="002C345D"/>
    <w:rsid w:val="00304AB6"/>
    <w:rsid w:val="00310FE6"/>
    <w:rsid w:val="0031453D"/>
    <w:rsid w:val="003150E3"/>
    <w:rsid w:val="00324786"/>
    <w:rsid w:val="003248AC"/>
    <w:rsid w:val="003257D4"/>
    <w:rsid w:val="003259E8"/>
    <w:rsid w:val="003261A3"/>
    <w:rsid w:val="0034317A"/>
    <w:rsid w:val="00351F66"/>
    <w:rsid w:val="00354EC4"/>
    <w:rsid w:val="003555A6"/>
    <w:rsid w:val="00375378"/>
    <w:rsid w:val="003754AA"/>
    <w:rsid w:val="00377391"/>
    <w:rsid w:val="0038062D"/>
    <w:rsid w:val="00381EBE"/>
    <w:rsid w:val="0038307A"/>
    <w:rsid w:val="0038317E"/>
    <w:rsid w:val="003866E3"/>
    <w:rsid w:val="00386C05"/>
    <w:rsid w:val="0039200C"/>
    <w:rsid w:val="003A544F"/>
    <w:rsid w:val="003B2AD8"/>
    <w:rsid w:val="003B44E0"/>
    <w:rsid w:val="003B6E84"/>
    <w:rsid w:val="003C00F9"/>
    <w:rsid w:val="003C11A0"/>
    <w:rsid w:val="003C5BD5"/>
    <w:rsid w:val="003D4CB9"/>
    <w:rsid w:val="003D7E41"/>
    <w:rsid w:val="003E0B6D"/>
    <w:rsid w:val="003E2949"/>
    <w:rsid w:val="003E2BB4"/>
    <w:rsid w:val="003E417B"/>
    <w:rsid w:val="003F32BD"/>
    <w:rsid w:val="00412194"/>
    <w:rsid w:val="0041650E"/>
    <w:rsid w:val="00427AE3"/>
    <w:rsid w:val="004318A8"/>
    <w:rsid w:val="00434FB6"/>
    <w:rsid w:val="004355FD"/>
    <w:rsid w:val="004363CA"/>
    <w:rsid w:val="00437499"/>
    <w:rsid w:val="00441382"/>
    <w:rsid w:val="004418D4"/>
    <w:rsid w:val="00450667"/>
    <w:rsid w:val="00450ADE"/>
    <w:rsid w:val="00454588"/>
    <w:rsid w:val="00457C9D"/>
    <w:rsid w:val="004818D0"/>
    <w:rsid w:val="0049111D"/>
    <w:rsid w:val="004926F2"/>
    <w:rsid w:val="004A010A"/>
    <w:rsid w:val="004A57F3"/>
    <w:rsid w:val="004A605C"/>
    <w:rsid w:val="004B142C"/>
    <w:rsid w:val="004C37EC"/>
    <w:rsid w:val="004D719F"/>
    <w:rsid w:val="004E0D31"/>
    <w:rsid w:val="004F6CE3"/>
    <w:rsid w:val="005153F0"/>
    <w:rsid w:val="00521B4C"/>
    <w:rsid w:val="0053234F"/>
    <w:rsid w:val="00534441"/>
    <w:rsid w:val="00560B58"/>
    <w:rsid w:val="00586C01"/>
    <w:rsid w:val="005915F6"/>
    <w:rsid w:val="00593634"/>
    <w:rsid w:val="005A1218"/>
    <w:rsid w:val="005A1EFB"/>
    <w:rsid w:val="005B3F5F"/>
    <w:rsid w:val="005B5DBD"/>
    <w:rsid w:val="005C7C77"/>
    <w:rsid w:val="005D5128"/>
    <w:rsid w:val="005E1E96"/>
    <w:rsid w:val="005E2BFB"/>
    <w:rsid w:val="005F2AF0"/>
    <w:rsid w:val="00616166"/>
    <w:rsid w:val="006231BF"/>
    <w:rsid w:val="00635D3B"/>
    <w:rsid w:val="00640A19"/>
    <w:rsid w:val="00643ACC"/>
    <w:rsid w:val="00644BDA"/>
    <w:rsid w:val="00652C63"/>
    <w:rsid w:val="00661039"/>
    <w:rsid w:val="0066548E"/>
    <w:rsid w:val="0067470E"/>
    <w:rsid w:val="006906BB"/>
    <w:rsid w:val="006A3B00"/>
    <w:rsid w:val="006B06EE"/>
    <w:rsid w:val="006B23F0"/>
    <w:rsid w:val="006B3818"/>
    <w:rsid w:val="006B3CB1"/>
    <w:rsid w:val="006B3D39"/>
    <w:rsid w:val="006B41F6"/>
    <w:rsid w:val="006B4F68"/>
    <w:rsid w:val="006C641E"/>
    <w:rsid w:val="006C74CD"/>
    <w:rsid w:val="006D4E4B"/>
    <w:rsid w:val="006E1F8C"/>
    <w:rsid w:val="006F41B7"/>
    <w:rsid w:val="00706824"/>
    <w:rsid w:val="0071202F"/>
    <w:rsid w:val="0071674E"/>
    <w:rsid w:val="00763BA7"/>
    <w:rsid w:val="00765C79"/>
    <w:rsid w:val="00771DB3"/>
    <w:rsid w:val="0078495B"/>
    <w:rsid w:val="0079517F"/>
    <w:rsid w:val="007956E2"/>
    <w:rsid w:val="0079650B"/>
    <w:rsid w:val="00796ECD"/>
    <w:rsid w:val="007A0D6D"/>
    <w:rsid w:val="007A4F06"/>
    <w:rsid w:val="007A576D"/>
    <w:rsid w:val="007A62EF"/>
    <w:rsid w:val="007B7AA9"/>
    <w:rsid w:val="007C1A90"/>
    <w:rsid w:val="007C7E21"/>
    <w:rsid w:val="007E0104"/>
    <w:rsid w:val="007F7AE1"/>
    <w:rsid w:val="00814F20"/>
    <w:rsid w:val="008407A8"/>
    <w:rsid w:val="00843288"/>
    <w:rsid w:val="00845135"/>
    <w:rsid w:val="008500A1"/>
    <w:rsid w:val="00850D0A"/>
    <w:rsid w:val="008518F6"/>
    <w:rsid w:val="008603F3"/>
    <w:rsid w:val="00866D02"/>
    <w:rsid w:val="00872A7C"/>
    <w:rsid w:val="00874F9F"/>
    <w:rsid w:val="008806CC"/>
    <w:rsid w:val="008808DE"/>
    <w:rsid w:val="00881AD5"/>
    <w:rsid w:val="00886B53"/>
    <w:rsid w:val="008A6540"/>
    <w:rsid w:val="008A68D9"/>
    <w:rsid w:val="008A72C1"/>
    <w:rsid w:val="008B336A"/>
    <w:rsid w:val="008E04DF"/>
    <w:rsid w:val="008E17E1"/>
    <w:rsid w:val="008E584F"/>
    <w:rsid w:val="00904E51"/>
    <w:rsid w:val="00913BE7"/>
    <w:rsid w:val="0091430D"/>
    <w:rsid w:val="00942F78"/>
    <w:rsid w:val="009442FE"/>
    <w:rsid w:val="00951569"/>
    <w:rsid w:val="00952CA1"/>
    <w:rsid w:val="0095347A"/>
    <w:rsid w:val="0096312C"/>
    <w:rsid w:val="009733AE"/>
    <w:rsid w:val="00975A0B"/>
    <w:rsid w:val="00982455"/>
    <w:rsid w:val="009916D5"/>
    <w:rsid w:val="009B159D"/>
    <w:rsid w:val="009B379B"/>
    <w:rsid w:val="009C6BF8"/>
    <w:rsid w:val="00A12C12"/>
    <w:rsid w:val="00A229D7"/>
    <w:rsid w:val="00A324BC"/>
    <w:rsid w:val="00A36219"/>
    <w:rsid w:val="00A41780"/>
    <w:rsid w:val="00A47C63"/>
    <w:rsid w:val="00A518A1"/>
    <w:rsid w:val="00A62B93"/>
    <w:rsid w:val="00A6670B"/>
    <w:rsid w:val="00A83AA1"/>
    <w:rsid w:val="00A93A28"/>
    <w:rsid w:val="00AA7AD2"/>
    <w:rsid w:val="00AA7CBE"/>
    <w:rsid w:val="00AE2D1E"/>
    <w:rsid w:val="00AE3086"/>
    <w:rsid w:val="00AF23A8"/>
    <w:rsid w:val="00AF30BC"/>
    <w:rsid w:val="00AF5755"/>
    <w:rsid w:val="00B10896"/>
    <w:rsid w:val="00B12E17"/>
    <w:rsid w:val="00B14821"/>
    <w:rsid w:val="00B418A9"/>
    <w:rsid w:val="00B64F03"/>
    <w:rsid w:val="00B6511B"/>
    <w:rsid w:val="00B66955"/>
    <w:rsid w:val="00B71300"/>
    <w:rsid w:val="00B82F13"/>
    <w:rsid w:val="00B92F2C"/>
    <w:rsid w:val="00B93535"/>
    <w:rsid w:val="00BA0BD4"/>
    <w:rsid w:val="00BA2C03"/>
    <w:rsid w:val="00BA426A"/>
    <w:rsid w:val="00BB1CBB"/>
    <w:rsid w:val="00BB4F23"/>
    <w:rsid w:val="00BB6E04"/>
    <w:rsid w:val="00BC152E"/>
    <w:rsid w:val="00BD0A7A"/>
    <w:rsid w:val="00BD1D5C"/>
    <w:rsid w:val="00BF340B"/>
    <w:rsid w:val="00BF4098"/>
    <w:rsid w:val="00BF47F6"/>
    <w:rsid w:val="00C21CBA"/>
    <w:rsid w:val="00C303B3"/>
    <w:rsid w:val="00C35316"/>
    <w:rsid w:val="00C36CB1"/>
    <w:rsid w:val="00C40AB9"/>
    <w:rsid w:val="00C46F38"/>
    <w:rsid w:val="00C608DE"/>
    <w:rsid w:val="00C62A38"/>
    <w:rsid w:val="00C7255F"/>
    <w:rsid w:val="00C74652"/>
    <w:rsid w:val="00C76A4D"/>
    <w:rsid w:val="00C808A0"/>
    <w:rsid w:val="00C80CCF"/>
    <w:rsid w:val="00C81461"/>
    <w:rsid w:val="00C85CD3"/>
    <w:rsid w:val="00C8633C"/>
    <w:rsid w:val="00C86CD6"/>
    <w:rsid w:val="00C96C4D"/>
    <w:rsid w:val="00CA3A20"/>
    <w:rsid w:val="00CA4C37"/>
    <w:rsid w:val="00CB03FD"/>
    <w:rsid w:val="00CB1992"/>
    <w:rsid w:val="00CC6DF0"/>
    <w:rsid w:val="00CD2E6F"/>
    <w:rsid w:val="00CD4796"/>
    <w:rsid w:val="00CD71D4"/>
    <w:rsid w:val="00CE6C7B"/>
    <w:rsid w:val="00CF6546"/>
    <w:rsid w:val="00D04200"/>
    <w:rsid w:val="00D07140"/>
    <w:rsid w:val="00D10BC2"/>
    <w:rsid w:val="00D14166"/>
    <w:rsid w:val="00D14601"/>
    <w:rsid w:val="00D1480C"/>
    <w:rsid w:val="00D17E78"/>
    <w:rsid w:val="00D2252D"/>
    <w:rsid w:val="00D244A8"/>
    <w:rsid w:val="00D413A0"/>
    <w:rsid w:val="00D43AD5"/>
    <w:rsid w:val="00D45A00"/>
    <w:rsid w:val="00D527D5"/>
    <w:rsid w:val="00D713A0"/>
    <w:rsid w:val="00D86729"/>
    <w:rsid w:val="00D87B41"/>
    <w:rsid w:val="00D9586D"/>
    <w:rsid w:val="00D96114"/>
    <w:rsid w:val="00DA1D6D"/>
    <w:rsid w:val="00DD24B8"/>
    <w:rsid w:val="00DD3A9C"/>
    <w:rsid w:val="00DD5169"/>
    <w:rsid w:val="00DE36FF"/>
    <w:rsid w:val="00DE4026"/>
    <w:rsid w:val="00DE4100"/>
    <w:rsid w:val="00DF085E"/>
    <w:rsid w:val="00E0475C"/>
    <w:rsid w:val="00E06DD0"/>
    <w:rsid w:val="00E14AB4"/>
    <w:rsid w:val="00E26617"/>
    <w:rsid w:val="00E2679F"/>
    <w:rsid w:val="00E302A0"/>
    <w:rsid w:val="00E324CE"/>
    <w:rsid w:val="00E32A68"/>
    <w:rsid w:val="00E43981"/>
    <w:rsid w:val="00E46A9B"/>
    <w:rsid w:val="00E54940"/>
    <w:rsid w:val="00E75C4F"/>
    <w:rsid w:val="00E77A7F"/>
    <w:rsid w:val="00E82990"/>
    <w:rsid w:val="00E951C2"/>
    <w:rsid w:val="00E97915"/>
    <w:rsid w:val="00EA5046"/>
    <w:rsid w:val="00EC47D1"/>
    <w:rsid w:val="00ED00A4"/>
    <w:rsid w:val="00ED049A"/>
    <w:rsid w:val="00ED2BF2"/>
    <w:rsid w:val="00EE002E"/>
    <w:rsid w:val="00F070B5"/>
    <w:rsid w:val="00F1013B"/>
    <w:rsid w:val="00F14D45"/>
    <w:rsid w:val="00F23403"/>
    <w:rsid w:val="00F24B38"/>
    <w:rsid w:val="00F27D3E"/>
    <w:rsid w:val="00F310C4"/>
    <w:rsid w:val="00F31938"/>
    <w:rsid w:val="00F3525E"/>
    <w:rsid w:val="00F3776E"/>
    <w:rsid w:val="00F432DE"/>
    <w:rsid w:val="00F438BA"/>
    <w:rsid w:val="00F51356"/>
    <w:rsid w:val="00F603E7"/>
    <w:rsid w:val="00F60FF8"/>
    <w:rsid w:val="00F71F12"/>
    <w:rsid w:val="00F7592E"/>
    <w:rsid w:val="00F76A7E"/>
    <w:rsid w:val="00F7761E"/>
    <w:rsid w:val="00F82348"/>
    <w:rsid w:val="00F84138"/>
    <w:rsid w:val="00F93C3C"/>
    <w:rsid w:val="00F9724F"/>
    <w:rsid w:val="00FA6B2C"/>
    <w:rsid w:val="00FB5B37"/>
    <w:rsid w:val="00FC07F4"/>
    <w:rsid w:val="00FC1248"/>
    <w:rsid w:val="00FE1D71"/>
    <w:rsid w:val="00FE5F04"/>
    <w:rsid w:val="00FF6865"/>
    <w:rsid w:val="00FF72F3"/>
    <w:rsid w:val="00FF77F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4B82F461-E041-4F44-84D0-D9A62E0D4B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3D4CB9"/>
    <w:rPr>
      <w:rFonts w:ascii="Arial" w:hAnsi="Arial"/>
      <w:sz w:val="22"/>
      <w:szCs w:val="22"/>
      <w:lang w:eastAsia="en-US"/>
    </w:rPr>
  </w:style>
  <w:style w:type="paragraph" w:styleId="berschrift1">
    <w:name w:val="heading 1"/>
    <w:basedOn w:val="Standard"/>
    <w:next w:val="Standard"/>
    <w:link w:val="berschrift1Zchn"/>
    <w:uiPriority w:val="9"/>
    <w:qFormat/>
    <w:rsid w:val="008806CC"/>
    <w:pPr>
      <w:keepNext/>
      <w:keepLines/>
      <w:numPr>
        <w:numId w:val="1"/>
      </w:numPr>
      <w:spacing w:before="480"/>
      <w:outlineLvl w:val="0"/>
    </w:pPr>
    <w:rPr>
      <w:rFonts w:eastAsia="Times New Roman"/>
      <w:b/>
      <w:bCs/>
      <w:sz w:val="24"/>
      <w:szCs w:val="28"/>
    </w:rPr>
  </w:style>
  <w:style w:type="paragraph" w:styleId="berschrift2">
    <w:name w:val="heading 2"/>
    <w:basedOn w:val="Standard"/>
    <w:next w:val="Standard"/>
    <w:link w:val="berschrift2Zchn"/>
    <w:uiPriority w:val="9"/>
    <w:qFormat/>
    <w:rsid w:val="008806CC"/>
    <w:pPr>
      <w:keepNext/>
      <w:keepLines/>
      <w:numPr>
        <w:ilvl w:val="1"/>
        <w:numId w:val="1"/>
      </w:numPr>
      <w:spacing w:before="200"/>
      <w:outlineLvl w:val="1"/>
    </w:pPr>
    <w:rPr>
      <w:rFonts w:eastAsia="Times New Roman"/>
      <w:b/>
      <w:bCs/>
      <w:szCs w:val="26"/>
    </w:rPr>
  </w:style>
  <w:style w:type="paragraph" w:styleId="berschrift3">
    <w:name w:val="heading 3"/>
    <w:basedOn w:val="Standard"/>
    <w:next w:val="Standard"/>
    <w:link w:val="berschrift3Zchn"/>
    <w:uiPriority w:val="9"/>
    <w:qFormat/>
    <w:rsid w:val="008806CC"/>
    <w:pPr>
      <w:keepNext/>
      <w:keepLines/>
      <w:numPr>
        <w:ilvl w:val="2"/>
        <w:numId w:val="1"/>
      </w:numPr>
      <w:spacing w:before="200"/>
      <w:outlineLvl w:val="2"/>
    </w:pPr>
    <w:rPr>
      <w:rFonts w:eastAsia="Times New Roman"/>
      <w:b/>
      <w:bCs/>
    </w:rPr>
  </w:style>
  <w:style w:type="paragraph" w:styleId="berschrift4">
    <w:name w:val="heading 4"/>
    <w:basedOn w:val="Standard"/>
    <w:next w:val="Standard"/>
    <w:link w:val="berschrift4Zchn"/>
    <w:uiPriority w:val="9"/>
    <w:qFormat/>
    <w:rsid w:val="008806CC"/>
    <w:pPr>
      <w:keepNext/>
      <w:keepLines/>
      <w:numPr>
        <w:ilvl w:val="3"/>
        <w:numId w:val="1"/>
      </w:numPr>
      <w:spacing w:before="200"/>
      <w:outlineLvl w:val="3"/>
    </w:pPr>
    <w:rPr>
      <w:rFonts w:eastAsia="Times New Roman"/>
      <w:b/>
      <w:bCs/>
      <w:iCs/>
    </w:rPr>
  </w:style>
  <w:style w:type="paragraph" w:styleId="berschrift5">
    <w:name w:val="heading 5"/>
    <w:basedOn w:val="Standard"/>
    <w:next w:val="Standard"/>
    <w:link w:val="berschrift5Zchn"/>
    <w:uiPriority w:val="9"/>
    <w:semiHidden/>
    <w:unhideWhenUsed/>
    <w:qFormat/>
    <w:rsid w:val="00F3776E"/>
    <w:pPr>
      <w:keepNext/>
      <w:keepLines/>
      <w:numPr>
        <w:ilvl w:val="4"/>
        <w:numId w:val="1"/>
      </w:numPr>
      <w:spacing w:before="200"/>
      <w:outlineLvl w:val="4"/>
    </w:pPr>
    <w:rPr>
      <w:rFonts w:ascii="Cambria" w:eastAsia="Times New Roman" w:hAnsi="Cambria"/>
      <w:color w:val="243F60"/>
    </w:rPr>
  </w:style>
  <w:style w:type="paragraph" w:styleId="berschrift6">
    <w:name w:val="heading 6"/>
    <w:basedOn w:val="Standard"/>
    <w:next w:val="Standard"/>
    <w:link w:val="berschrift6Zchn"/>
    <w:uiPriority w:val="9"/>
    <w:semiHidden/>
    <w:unhideWhenUsed/>
    <w:qFormat/>
    <w:rsid w:val="00F3776E"/>
    <w:pPr>
      <w:keepNext/>
      <w:keepLines/>
      <w:numPr>
        <w:ilvl w:val="5"/>
        <w:numId w:val="1"/>
      </w:numPr>
      <w:spacing w:before="200"/>
      <w:outlineLvl w:val="5"/>
    </w:pPr>
    <w:rPr>
      <w:rFonts w:ascii="Cambria" w:eastAsia="Times New Roman" w:hAnsi="Cambria"/>
      <w:i/>
      <w:iCs/>
      <w:color w:val="243F60"/>
    </w:rPr>
  </w:style>
  <w:style w:type="paragraph" w:styleId="berschrift7">
    <w:name w:val="heading 7"/>
    <w:basedOn w:val="Standard"/>
    <w:next w:val="Standard"/>
    <w:link w:val="berschrift7Zchn"/>
    <w:uiPriority w:val="9"/>
    <w:semiHidden/>
    <w:unhideWhenUsed/>
    <w:qFormat/>
    <w:rsid w:val="00F3776E"/>
    <w:pPr>
      <w:keepNext/>
      <w:keepLines/>
      <w:numPr>
        <w:ilvl w:val="6"/>
        <w:numId w:val="1"/>
      </w:numPr>
      <w:spacing w:before="200"/>
      <w:outlineLvl w:val="6"/>
    </w:pPr>
    <w:rPr>
      <w:rFonts w:ascii="Cambria" w:eastAsia="Times New Roman" w:hAnsi="Cambria"/>
      <w:i/>
      <w:iCs/>
      <w:color w:val="404040"/>
    </w:rPr>
  </w:style>
  <w:style w:type="paragraph" w:styleId="berschrift8">
    <w:name w:val="heading 8"/>
    <w:basedOn w:val="Standard"/>
    <w:next w:val="Standard"/>
    <w:link w:val="berschrift8Zchn"/>
    <w:uiPriority w:val="9"/>
    <w:semiHidden/>
    <w:unhideWhenUsed/>
    <w:qFormat/>
    <w:rsid w:val="00F3776E"/>
    <w:pPr>
      <w:keepNext/>
      <w:keepLines/>
      <w:numPr>
        <w:ilvl w:val="7"/>
        <w:numId w:val="1"/>
      </w:numPr>
      <w:spacing w:before="200"/>
      <w:outlineLvl w:val="7"/>
    </w:pPr>
    <w:rPr>
      <w:rFonts w:ascii="Cambria" w:eastAsia="Times New Roman" w:hAnsi="Cambria"/>
      <w:color w:val="404040"/>
      <w:sz w:val="20"/>
      <w:szCs w:val="20"/>
    </w:rPr>
  </w:style>
  <w:style w:type="paragraph" w:styleId="berschrift9">
    <w:name w:val="heading 9"/>
    <w:basedOn w:val="Standard"/>
    <w:next w:val="Standard"/>
    <w:link w:val="berschrift9Zchn"/>
    <w:uiPriority w:val="9"/>
    <w:semiHidden/>
    <w:unhideWhenUsed/>
    <w:qFormat/>
    <w:rsid w:val="00F3776E"/>
    <w:pPr>
      <w:keepNext/>
      <w:keepLines/>
      <w:numPr>
        <w:ilvl w:val="8"/>
        <w:numId w:val="1"/>
      </w:numPr>
      <w:spacing w:before="200"/>
      <w:outlineLvl w:val="8"/>
    </w:pPr>
    <w:rPr>
      <w:rFonts w:ascii="Cambria" w:eastAsia="Times New Roman" w:hAnsi="Cambria"/>
      <w:i/>
      <w:iCs/>
      <w:color w:val="404040"/>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8806CC"/>
    <w:rPr>
      <w:rFonts w:ascii="Arial" w:eastAsia="Times New Roman" w:hAnsi="Arial" w:cs="Times New Roman"/>
      <w:b/>
      <w:bCs/>
      <w:sz w:val="24"/>
      <w:szCs w:val="28"/>
    </w:rPr>
  </w:style>
  <w:style w:type="character" w:customStyle="1" w:styleId="berschrift2Zchn">
    <w:name w:val="Überschrift 2 Zchn"/>
    <w:basedOn w:val="Absatz-Standardschriftart"/>
    <w:link w:val="berschrift2"/>
    <w:uiPriority w:val="9"/>
    <w:rsid w:val="008806CC"/>
    <w:rPr>
      <w:rFonts w:ascii="Arial" w:eastAsia="Times New Roman" w:hAnsi="Arial" w:cs="Times New Roman"/>
      <w:b/>
      <w:bCs/>
      <w:szCs w:val="26"/>
    </w:rPr>
  </w:style>
  <w:style w:type="character" w:customStyle="1" w:styleId="berschrift3Zchn">
    <w:name w:val="Überschrift 3 Zchn"/>
    <w:basedOn w:val="Absatz-Standardschriftart"/>
    <w:link w:val="berschrift3"/>
    <w:uiPriority w:val="9"/>
    <w:rsid w:val="008806CC"/>
    <w:rPr>
      <w:rFonts w:ascii="Arial" w:eastAsia="Times New Roman" w:hAnsi="Arial" w:cs="Times New Roman"/>
      <w:b/>
      <w:bCs/>
    </w:rPr>
  </w:style>
  <w:style w:type="character" w:customStyle="1" w:styleId="berschrift4Zchn">
    <w:name w:val="Überschrift 4 Zchn"/>
    <w:basedOn w:val="Absatz-Standardschriftart"/>
    <w:link w:val="berschrift4"/>
    <w:uiPriority w:val="9"/>
    <w:rsid w:val="008806CC"/>
    <w:rPr>
      <w:rFonts w:ascii="Arial" w:eastAsia="Times New Roman" w:hAnsi="Arial" w:cs="Times New Roman"/>
      <w:b/>
      <w:bCs/>
      <w:iCs/>
    </w:rPr>
  </w:style>
  <w:style w:type="paragraph" w:styleId="Inhaltsverzeichnisberschrift">
    <w:name w:val="TOC Heading"/>
    <w:basedOn w:val="berschrift1"/>
    <w:next w:val="Standard"/>
    <w:uiPriority w:val="39"/>
    <w:semiHidden/>
    <w:unhideWhenUsed/>
    <w:qFormat/>
    <w:rsid w:val="002667D8"/>
    <w:pPr>
      <w:outlineLvl w:val="9"/>
    </w:pPr>
    <w:rPr>
      <w:b w:val="0"/>
    </w:rPr>
  </w:style>
  <w:style w:type="character" w:customStyle="1" w:styleId="berschrift5Zchn">
    <w:name w:val="Überschrift 5 Zchn"/>
    <w:basedOn w:val="Absatz-Standardschriftart"/>
    <w:link w:val="berschrift5"/>
    <w:uiPriority w:val="9"/>
    <w:semiHidden/>
    <w:rsid w:val="00F3776E"/>
    <w:rPr>
      <w:rFonts w:ascii="Cambria" w:eastAsia="Times New Roman" w:hAnsi="Cambria" w:cs="Times New Roman"/>
      <w:color w:val="243F60"/>
    </w:rPr>
  </w:style>
  <w:style w:type="character" w:customStyle="1" w:styleId="berschrift6Zchn">
    <w:name w:val="Überschrift 6 Zchn"/>
    <w:basedOn w:val="Absatz-Standardschriftart"/>
    <w:link w:val="berschrift6"/>
    <w:uiPriority w:val="9"/>
    <w:semiHidden/>
    <w:rsid w:val="00F3776E"/>
    <w:rPr>
      <w:rFonts w:ascii="Cambria" w:eastAsia="Times New Roman" w:hAnsi="Cambria" w:cs="Times New Roman"/>
      <w:i/>
      <w:iCs/>
      <w:color w:val="243F60"/>
    </w:rPr>
  </w:style>
  <w:style w:type="character" w:customStyle="1" w:styleId="berschrift7Zchn">
    <w:name w:val="Überschrift 7 Zchn"/>
    <w:basedOn w:val="Absatz-Standardschriftart"/>
    <w:link w:val="berschrift7"/>
    <w:uiPriority w:val="9"/>
    <w:semiHidden/>
    <w:rsid w:val="00F3776E"/>
    <w:rPr>
      <w:rFonts w:ascii="Cambria" w:eastAsia="Times New Roman" w:hAnsi="Cambria" w:cs="Times New Roman"/>
      <w:i/>
      <w:iCs/>
      <w:color w:val="404040"/>
    </w:rPr>
  </w:style>
  <w:style w:type="character" w:customStyle="1" w:styleId="berschrift8Zchn">
    <w:name w:val="Überschrift 8 Zchn"/>
    <w:basedOn w:val="Absatz-Standardschriftart"/>
    <w:link w:val="berschrift8"/>
    <w:uiPriority w:val="9"/>
    <w:semiHidden/>
    <w:rsid w:val="00F3776E"/>
    <w:rPr>
      <w:rFonts w:ascii="Cambria" w:eastAsia="Times New Roman" w:hAnsi="Cambria" w:cs="Times New Roman"/>
      <w:color w:val="404040"/>
      <w:sz w:val="20"/>
      <w:szCs w:val="20"/>
    </w:rPr>
  </w:style>
  <w:style w:type="character" w:customStyle="1" w:styleId="berschrift9Zchn">
    <w:name w:val="Überschrift 9 Zchn"/>
    <w:basedOn w:val="Absatz-Standardschriftart"/>
    <w:link w:val="berschrift9"/>
    <w:uiPriority w:val="9"/>
    <w:semiHidden/>
    <w:rsid w:val="00F3776E"/>
    <w:rPr>
      <w:rFonts w:ascii="Cambria" w:eastAsia="Times New Roman" w:hAnsi="Cambria" w:cs="Times New Roman"/>
      <w:i/>
      <w:iCs/>
      <w:color w:val="404040"/>
      <w:sz w:val="20"/>
      <w:szCs w:val="20"/>
    </w:rPr>
  </w:style>
  <w:style w:type="paragraph" w:styleId="Kopfzeile">
    <w:name w:val="header"/>
    <w:basedOn w:val="Standard"/>
    <w:link w:val="KopfzeileZchn"/>
    <w:uiPriority w:val="99"/>
    <w:unhideWhenUsed/>
    <w:rsid w:val="0091430D"/>
    <w:pPr>
      <w:tabs>
        <w:tab w:val="center" w:pos="4536"/>
        <w:tab w:val="right" w:pos="9072"/>
      </w:tabs>
    </w:pPr>
  </w:style>
  <w:style w:type="character" w:customStyle="1" w:styleId="KopfzeileZchn">
    <w:name w:val="Kopfzeile Zchn"/>
    <w:basedOn w:val="Absatz-Standardschriftart"/>
    <w:link w:val="Kopfzeile"/>
    <w:uiPriority w:val="99"/>
    <w:rsid w:val="0091430D"/>
    <w:rPr>
      <w:rFonts w:ascii="Arial" w:hAnsi="Arial"/>
    </w:rPr>
  </w:style>
  <w:style w:type="paragraph" w:styleId="Fuzeile">
    <w:name w:val="footer"/>
    <w:basedOn w:val="Standard"/>
    <w:link w:val="FuzeileZchn"/>
    <w:uiPriority w:val="99"/>
    <w:unhideWhenUsed/>
    <w:rsid w:val="0091430D"/>
    <w:pPr>
      <w:tabs>
        <w:tab w:val="center" w:pos="4536"/>
        <w:tab w:val="right" w:pos="9072"/>
      </w:tabs>
    </w:pPr>
  </w:style>
  <w:style w:type="character" w:customStyle="1" w:styleId="FuzeileZchn">
    <w:name w:val="Fußzeile Zchn"/>
    <w:basedOn w:val="Absatz-Standardschriftart"/>
    <w:link w:val="Fuzeile"/>
    <w:uiPriority w:val="99"/>
    <w:rsid w:val="0091430D"/>
    <w:rPr>
      <w:rFonts w:ascii="Arial" w:hAnsi="Arial"/>
    </w:rPr>
  </w:style>
  <w:style w:type="paragraph" w:styleId="Sprechblasentext">
    <w:name w:val="Balloon Text"/>
    <w:basedOn w:val="Standard"/>
    <w:link w:val="SprechblasentextZchn"/>
    <w:uiPriority w:val="99"/>
    <w:semiHidden/>
    <w:unhideWhenUsed/>
    <w:rsid w:val="0091430D"/>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1430D"/>
    <w:rPr>
      <w:rFonts w:ascii="Tahoma" w:hAnsi="Tahoma" w:cs="Tahoma"/>
      <w:sz w:val="16"/>
      <w:szCs w:val="16"/>
    </w:rPr>
  </w:style>
  <w:style w:type="character" w:styleId="Hyperlink">
    <w:name w:val="Hyperlink"/>
    <w:basedOn w:val="Absatz-Standardschriftart"/>
    <w:rsid w:val="00F070B5"/>
    <w:rPr>
      <w:color w:val="0000FF"/>
      <w:u w:val="single"/>
    </w:rPr>
  </w:style>
  <w:style w:type="paragraph" w:styleId="Listenabsatz">
    <w:name w:val="List Paragraph"/>
    <w:basedOn w:val="Standard"/>
    <w:uiPriority w:val="34"/>
    <w:qFormat/>
    <w:rsid w:val="00BB6E04"/>
    <w:pPr>
      <w:spacing w:after="200" w:line="276" w:lineRule="auto"/>
      <w:ind w:left="720"/>
      <w:contextualSpacing/>
    </w:pPr>
    <w:rPr>
      <w:rFonts w:asciiTheme="minorHAnsi" w:eastAsiaTheme="minorHAnsi" w:hAnsiTheme="minorHAnsi" w:cstheme="minorBidi"/>
    </w:rPr>
  </w:style>
  <w:style w:type="table" w:styleId="Tabellenraster">
    <w:name w:val="Table Grid"/>
    <w:basedOn w:val="NormaleTabelle"/>
    <w:uiPriority w:val="59"/>
    <w:rsid w:val="003D4CB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2819009">
      <w:bodyDiv w:val="1"/>
      <w:marLeft w:val="0"/>
      <w:marRight w:val="0"/>
      <w:marTop w:val="0"/>
      <w:marBottom w:val="0"/>
      <w:divBdr>
        <w:top w:val="none" w:sz="0" w:space="0" w:color="auto"/>
        <w:left w:val="none" w:sz="0" w:space="0" w:color="auto"/>
        <w:bottom w:val="none" w:sz="0" w:space="0" w:color="auto"/>
        <w:right w:val="none" w:sz="0" w:space="0" w:color="auto"/>
      </w:divBdr>
    </w:div>
    <w:div w:id="236866336">
      <w:bodyDiv w:val="1"/>
      <w:marLeft w:val="0"/>
      <w:marRight w:val="0"/>
      <w:marTop w:val="0"/>
      <w:marBottom w:val="0"/>
      <w:divBdr>
        <w:top w:val="none" w:sz="0" w:space="0" w:color="auto"/>
        <w:left w:val="none" w:sz="0" w:space="0" w:color="auto"/>
        <w:bottom w:val="none" w:sz="0" w:space="0" w:color="auto"/>
        <w:right w:val="none" w:sz="0" w:space="0" w:color="auto"/>
      </w:divBdr>
    </w:div>
    <w:div w:id="313414559">
      <w:bodyDiv w:val="1"/>
      <w:marLeft w:val="0"/>
      <w:marRight w:val="0"/>
      <w:marTop w:val="0"/>
      <w:marBottom w:val="0"/>
      <w:divBdr>
        <w:top w:val="none" w:sz="0" w:space="0" w:color="auto"/>
        <w:left w:val="none" w:sz="0" w:space="0" w:color="auto"/>
        <w:bottom w:val="none" w:sz="0" w:space="0" w:color="auto"/>
        <w:right w:val="none" w:sz="0" w:space="0" w:color="auto"/>
      </w:divBdr>
    </w:div>
    <w:div w:id="460540270">
      <w:bodyDiv w:val="1"/>
      <w:marLeft w:val="0"/>
      <w:marRight w:val="0"/>
      <w:marTop w:val="0"/>
      <w:marBottom w:val="0"/>
      <w:divBdr>
        <w:top w:val="none" w:sz="0" w:space="0" w:color="auto"/>
        <w:left w:val="none" w:sz="0" w:space="0" w:color="auto"/>
        <w:bottom w:val="none" w:sz="0" w:space="0" w:color="auto"/>
        <w:right w:val="none" w:sz="0" w:space="0" w:color="auto"/>
      </w:divBdr>
    </w:div>
    <w:div w:id="16644297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muthmann@heidenhain.de" TargetMode="External"/><Relationship Id="rId13" Type="http://schemas.openxmlformats.org/officeDocument/2006/relationships/image" Target="media/image5.jpe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7A0D083-1659-48DD-B893-304F4290CF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1383</Words>
  <Characters>8713</Characters>
  <Application>Microsoft Office Word</Application>
  <DocSecurity>4</DocSecurity>
  <Lines>72</Lines>
  <Paragraphs>20</Paragraphs>
  <ScaleCrop>false</ScaleCrop>
  <HeadingPairs>
    <vt:vector size="2" baseType="variant">
      <vt:variant>
        <vt:lpstr>Titel</vt:lpstr>
      </vt:variant>
      <vt:variant>
        <vt:i4>1</vt:i4>
      </vt:variant>
    </vt:vector>
  </HeadingPairs>
  <TitlesOfParts>
    <vt:vector size="1" baseType="lpstr">
      <vt:lpstr/>
    </vt:vector>
  </TitlesOfParts>
  <Company>DR. JOHANNES HEIDENHAIN GmbH</Company>
  <LinksUpToDate>false</LinksUpToDate>
  <CharactersWithSpaces>10076</CharactersWithSpaces>
  <SharedDoc>false</SharedDoc>
  <HLinks>
    <vt:vector size="12" baseType="variant">
      <vt:variant>
        <vt:i4>3932179</vt:i4>
      </vt:variant>
      <vt:variant>
        <vt:i4>3</vt:i4>
      </vt:variant>
      <vt:variant>
        <vt:i4>0</vt:i4>
      </vt:variant>
      <vt:variant>
        <vt:i4>5</vt:i4>
      </vt:variant>
      <vt:variant>
        <vt:lpwstr>mailto:muthmann@heidenhain.de</vt:lpwstr>
      </vt:variant>
      <vt:variant>
        <vt:lpwstr/>
      </vt:variant>
      <vt:variant>
        <vt:i4>327764</vt:i4>
      </vt:variant>
      <vt:variant>
        <vt:i4>0</vt:i4>
      </vt:variant>
      <vt:variant>
        <vt:i4>0</vt:i4>
      </vt:variant>
      <vt:variant>
        <vt:i4>5</vt:i4>
      </vt:variant>
      <vt:variant>
        <vt:lpwstr>http://www.heidenhain.de/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IT</dc:creator>
  <cp:lastModifiedBy>a12811</cp:lastModifiedBy>
  <cp:revision>2</cp:revision>
  <cp:lastPrinted>2018-08-01T06:53:00Z</cp:lastPrinted>
  <dcterms:created xsi:type="dcterms:W3CDTF">2018-08-01T08:34:00Z</dcterms:created>
  <dcterms:modified xsi:type="dcterms:W3CDTF">2018-08-01T08:34:00Z</dcterms:modified>
</cp:coreProperties>
</file>